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Vendor Management Toolkit  /  Volume 02 / Companion to the RFP Template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Vendor Services</w:t>
      </w:r>
    </w:p>
    <w:p>
      <w:pPr>
        <w:spacing w:after="240" w:before="0"/>
        <w:jc w:val="left"/>
      </w:pPr>
      <w:r>
        <w:rPr>
          <w:rFonts w:ascii="Garamond" w:cs="Garamond" w:eastAsia="Garamond" w:hAnsi="Garamond"/>
          <w:i/>
          <w:iCs/>
          <w:color w:val="173F35"/>
          <w:sz w:val="60"/>
          <w:szCs w:val="60"/>
        </w:rPr>
        <w:t xml:space="preserve">Agreement</w:t>
      </w:r>
    </w:p>
    <w:p>
      <w:pPr>
        <w:spacing w:after="1200" w:before="80"/>
        <w:jc w:val="left"/>
      </w:pPr>
      <w:r>
        <w:rPr>
          <w:rFonts w:ascii="Lato" w:cs="Lato" w:eastAsia="Lato" w:hAnsi="Lato"/>
          <w:color w:val="1A1A1A"/>
          <w:sz w:val="24"/>
          <w:szCs w:val="24"/>
        </w:rPr>
        <w:t xml:space="preserve">Adoption-ready Tier 1–2 services contract for HOA and condominium boards — the document executed after RFP award. Landscape, pool, pest, janitorial, trash, and similar recurring service categories.</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Contract Template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RFP Tier 1/2 Adoption-Ready Template  •  Comparative Proposal Evaluation Worksheet  •  Standalone Drafts</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ABOUT THIS CONTRACT</w:t>
      </w:r>
    </w:p>
    <w:p>
      <w:pPr>
        <w:pStyle w:val="Heading1"/>
        <w:spacing w:after="160" w:before="280"/>
      </w:pPr>
      <w:r>
        <w:rPr>
          <w:rFonts w:ascii="Garamond" w:cs="Garamond" w:eastAsia="Garamond" w:hAnsi="Garamond"/>
          <w:b/>
          <w:bCs/>
          <w:color w:val="173F35"/>
          <w:sz w:val="40"/>
          <w:szCs w:val="40"/>
        </w:rPr>
        <w:t xml:space="preserve">How to Use This Document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This is the contract a board executes after awarding a Tier 1–2 vendor RFP. It is a complete services agreement — not a Statement of Work in the engineering sense. The scope (the “what”) is incorporated from the RFP by reference; this document governs the relationship (the “how, when, and who pays”). Used together with the CIC-SC RFP Template and the Comparative Proposal Evaluation Worksheet, it gives the Board a single coherent record from solicitation through signature.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HOW TO USE THIS DOCUMENT</w:t>
            </w:r>
          </w:p>
          <w:p>
            <w:pPr>
              <w:pStyle w:val="ListParagraph"/>
              <w:numPr>
                <w:ilvl w:val="0"/>
                <w:numId w:val="2"/>
              </w:numPr>
              <w:spacing w:after="60" w:before="40" w:line="290"/>
            </w:pPr>
            <w:r>
              <w:rPr>
                <w:rFonts w:ascii="Lato" w:cs="Lato" w:eastAsia="Lato" w:hAnsi="Lato"/>
                <w:color w:val="1A1A1A"/>
                <w:sz w:val="22"/>
                <w:szCs w:val="22"/>
              </w:rPr>
              <w:t xml:space="preserve">Replace every bracketed placeholder — e.g., [Association Name], [Vendor Name], [State], [Effective Date], [RFP Reference #] — with the actual award information.</w:t>
            </w:r>
          </w:p>
          <w:p>
            <w:pPr>
              <w:pStyle w:val="ListParagraph"/>
              <w:numPr>
                <w:ilvl w:val="0"/>
                <w:numId w:val="2"/>
              </w:numPr>
              <w:spacing w:after="60" w:before="40" w:line="290"/>
            </w:pPr>
            <w:r>
              <w:rPr>
                <w:rFonts w:ascii="Lato" w:cs="Lato" w:eastAsia="Lato" w:hAnsi="Lato"/>
                <w:color w:val="1A1A1A"/>
                <w:sz w:val="22"/>
                <w:szCs w:val="22"/>
              </w:rPr>
              <w:t xml:space="preserve">Attach the RFP, the winning Bid Sheet, and the executed Bid Authorization &amp; Affidavit as Exhibits A, B, and C. The Statement of Work, pricing, and bidder affidavit are incorporated by reference; no need to retype.</w:t>
            </w:r>
          </w:p>
          <w:p>
            <w:pPr>
              <w:pStyle w:val="ListParagraph"/>
              <w:numPr>
                <w:ilvl w:val="0"/>
                <w:numId w:val="2"/>
              </w:numPr>
              <w:spacing w:after="60" w:before="40" w:line="290"/>
            </w:pPr>
            <w:r>
              <w:rPr>
                <w:rFonts w:ascii="Lato" w:cs="Lato" w:eastAsia="Lato" w:hAnsi="Lato"/>
                <w:color w:val="1A1A1A"/>
                <w:sz w:val="22"/>
                <w:szCs w:val="22"/>
              </w:rPr>
              <w:t xml:space="preserve">Have the Association’s legal counsel review the executed draft before signature. Tier 1–2 contracts are routine but the indemnity, insurance, lien-waiver, and governing-law clauses should be confirmed against your state law and your master insurance policy.</w:t>
            </w:r>
          </w:p>
          <w:p>
            <w:pPr>
              <w:pStyle w:val="ListParagraph"/>
              <w:numPr>
                <w:ilvl w:val="0"/>
                <w:numId w:val="2"/>
              </w:numPr>
              <w:spacing w:after="60" w:before="40" w:line="290"/>
            </w:pPr>
            <w:r>
              <w:rPr>
                <w:rFonts w:ascii="Lato" w:cs="Lato" w:eastAsia="Lato" w:hAnsi="Lato"/>
                <w:color w:val="1A1A1A"/>
                <w:sz w:val="22"/>
                <w:szCs w:val="22"/>
              </w:rPr>
              <w:t xml:space="preserve">Execute by the Board President or another officer authorized in the meeting minutes that approved the award. The Manager may countersign but is not the party to the agreement.</w:t>
            </w:r>
          </w:p>
          <w:p>
            <w:pPr>
              <w:pStyle w:val="ListParagraph"/>
              <w:numPr>
                <w:ilvl w:val="0"/>
                <w:numId w:val="2"/>
              </w:numPr>
              <w:spacing w:after="60" w:before="40" w:line="290"/>
            </w:pPr>
            <w:r>
              <w:rPr>
                <w:rFonts w:ascii="Lato" w:cs="Lato" w:eastAsia="Lato" w:hAnsi="Lato"/>
                <w:color w:val="1A1A1A"/>
                <w:sz w:val="22"/>
                <w:szCs w:val="22"/>
              </w:rPr>
              <w:t xml:space="preserve">Deliver a fully executed counterpart to the Vendor and retain the original in the Association’s permanent records with the RFP file.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IMPORTANT NOTE</w:t>
            </w:r>
          </w:p>
          <w:p>
            <w:pPr>
              <w:spacing w:after="0" w:before="0" w:line="300"/>
              <w:jc w:val="left"/>
            </w:pPr>
            <w:r>
              <w:rPr>
                <w:rFonts w:ascii="Lato" w:cs="Lato" w:eastAsia="Lato" w:hAnsi="Lato"/>
                <w:color w:val="1A1A1A"/>
                <w:sz w:val="22"/>
                <w:szCs w:val="22"/>
              </w:rPr>
              <w:t xml:space="preserve">This template is a strong starting point and a careful default. It is not legal advice. Insurance limits, indemnity scope, mechanic’s lien law, and statutory disclosure requirements vary between Texas and Florida and are amended periodically. Before executing, your association’s legal counsel and insurance broker should confirm Articles 7 (Insurance) and 8 (Indemnification) and Article 11 (Lien Waivers).</w:t>
            </w:r>
          </w:p>
        </w:tc>
      </w:tr>
    </w:tbl>
    <w:p>
      <w:r>
        <w:br w:type="page"/>
      </w:r>
    </w:p>
    <w:p>
      <w:pPr>
        <w:spacing w:after="60" w:before="0"/>
      </w:pPr>
      <w:r>
        <w:rPr>
          <w:rFonts w:ascii="Lato" w:cs="Lato" w:eastAsia="Lato" w:hAnsi="Lato"/>
          <w:b/>
          <w:bCs/>
          <w:color w:val="C9A24A"/>
          <w:spacing w:val="100"/>
          <w:sz w:val="16"/>
          <w:szCs w:val="16"/>
        </w:rPr>
        <w:t xml:space="preserve">COVER SHEET</w:t>
      </w:r>
    </w:p>
    <w:p>
      <w:pPr>
        <w:pStyle w:val="Heading1"/>
        <w:spacing w:after="160" w:before="280"/>
      </w:pPr>
      <w:r>
        <w:rPr>
          <w:rFonts w:ascii="Garamond" w:cs="Garamond" w:eastAsia="Garamond" w:hAnsi="Garamond"/>
          <w:b/>
          <w:bCs/>
          <w:color w:val="173F35"/>
          <w:sz w:val="40"/>
          <w:szCs w:val="40"/>
        </w:rPr>
        <w:t xml:space="preserve">Vendor Services Agreement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This Vendor Services Agreement (the “</w:t>
      </w:r>
      <w:r>
        <w:rPr>
          <w:rFonts w:ascii="Lato" w:cs="Lato" w:eastAsia="Lato" w:hAnsi="Lato"/>
          <w:b/>
          <w:bCs/>
          <w:color w:val="1A1A1A"/>
          <w:sz w:val="22"/>
          <w:szCs w:val="22"/>
        </w:rPr>
        <w:t xml:space="preserve">Agreement</w:t>
      </w:r>
      <w:r>
        <w:rPr>
          <w:rFonts w:ascii="Lato" w:cs="Lato" w:eastAsia="Lato" w:hAnsi="Lato"/>
          <w:color w:val="1A1A1A"/>
          <w:sz w:val="22"/>
          <w:szCs w:val="22"/>
        </w:rPr>
        <w:t xml:space="preserve">”) is entered into as of </w:t>
      </w:r>
      <w:r>
        <w:rPr>
          <w:rFonts w:ascii="Lato" w:cs="Lato" w:eastAsia="Lato" w:hAnsi="Lato"/>
          <w:b/>
          <w:bCs/>
          <w:color w:val="173F35"/>
          <w:sz w:val="22"/>
          <w:szCs w:val="22"/>
        </w:rPr>
        <w:t xml:space="preserve">[Effective Date]</w:t>
      </w:r>
      <w:r>
        <w:rPr>
          <w:rFonts w:ascii="Lato" w:cs="Lato" w:eastAsia="Lato" w:hAnsi="Lato"/>
          <w:color w:val="1A1A1A"/>
          <w:sz w:val="22"/>
          <w:szCs w:val="22"/>
        </w:rPr>
        <w:t xml:space="preserve"> (the “</w:t>
      </w:r>
      <w:r>
        <w:rPr>
          <w:rFonts w:ascii="Lato" w:cs="Lato" w:eastAsia="Lato" w:hAnsi="Lato"/>
          <w:b/>
          <w:bCs/>
          <w:color w:val="1A1A1A"/>
          <w:sz w:val="22"/>
          <w:szCs w:val="22"/>
        </w:rPr>
        <w:t xml:space="preserve">Effective Date</w:t>
      </w:r>
      <w:r>
        <w:rPr>
          <w:rFonts w:ascii="Lato" w:cs="Lato" w:eastAsia="Lato" w:hAnsi="Lato"/>
          <w:color w:val="1A1A1A"/>
          <w:sz w:val="22"/>
          <w:szCs w:val="22"/>
        </w:rPr>
        <w:t xml:space="preserve">”) by and between:</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Name], a [state] non-profit corporation, with offices at [Address]  (“Association”)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VENDOR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[Vendor Legal Name], a [state] [entity type], with offices at [Address]  (“Vendor”)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 Reference #]  •  awarded by Board resolution dated [Award Date]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[e.g., Landscape &amp; Grounds Maintenance]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[12 / 24 / 36] months, beginning [Start Date], ending [End Date]</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Recitals</w:t>
      </w:r>
    </w:p>
    <w:p>
      <w:pPr>
        <w:spacing w:after="12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the Association issued a Request for Proposal under reference [RFP Reference #] (the “RFP”) for the services described in the RFP’s Statement of Work;</w:t>
      </w:r>
    </w:p>
    <w:p>
      <w:pPr>
        <w:spacing w:after="12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the Vendor submitted a proposal in response to the RFP, dated [Bid Date], and the Association’s Board of Directors awarded the contract to the Vendor by recorded vote at a properly noticed open meeting on [Award Date];</w:t>
      </w:r>
    </w:p>
    <w:p>
      <w:pPr>
        <w:spacing w:after="20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the Parties wish to memorialize the terms of the Vendor’s engagement consistent with the RFP, the Vendor’s proposal, and the Board’s award;</w:t>
      </w:r>
    </w:p>
    <w:p>
      <w:pPr>
        <w:spacing w:after="120" w:before="0" w:line="320"/>
        <w:jc w:val="left"/>
      </w:pPr>
      <w:r>
        <w:rPr>
          <w:rFonts w:ascii="Lato" w:cs="Lato" w:eastAsia="Lato" w:hAnsi="Lato"/>
          <w:b/>
          <w:bCs/>
          <w:color w:val="173F35"/>
          <w:sz w:val="22"/>
          <w:szCs w:val="22"/>
        </w:rPr>
        <w:t xml:space="preserve">NOW, THEREFORE, </w:t>
      </w:r>
      <w:r>
        <w:rPr>
          <w:rFonts w:ascii="Lato" w:cs="Lato" w:eastAsia="Lato" w:hAnsi="Lato"/>
          <w:color w:val="1A1A1A"/>
          <w:sz w:val="22"/>
          <w:szCs w:val="22"/>
        </w:rPr>
        <w:t xml:space="preserve">in consideration of the mutual promises set forth below, the sufficiency of which is acknowledged, the Parties agree as follows:</w:t>
      </w:r>
    </w:p>
    <w:p>
      <w:r>
        <w:br w:type="page"/>
      </w:r>
    </w:p>
    <w:p>
      <w:pPr>
        <w:spacing w:after="0" w:before="280"/>
      </w:pPr>
      <w:r>
        <w:rPr>
          <w:rFonts w:ascii="Lato" w:cs="Lato" w:eastAsia="Lato" w:hAnsi="Lato"/>
          <w:b/>
          <w:bCs/>
          <w:color w:val="C9A24A"/>
          <w:spacing w:val="120"/>
          <w:sz w:val="16"/>
          <w:szCs w:val="16"/>
        </w:rPr>
        <w:t xml:space="preserve">ARTICLE 1</w:t>
      </w:r>
    </w:p>
    <w:p>
      <w:pPr>
        <w:spacing w:after="60" w:before="0"/>
      </w:pPr>
      <w:r>
        <w:rPr>
          <w:rFonts w:ascii="Garamond" w:cs="Garamond" w:eastAsia="Garamond" w:hAnsi="Garamond"/>
          <w:b/>
          <w:bCs/>
          <w:color w:val="173F35"/>
          <w:sz w:val="30"/>
          <w:szCs w:val="30"/>
        </w:rPr>
        <w:t xml:space="preserve">Definitions</w:t>
      </w:r>
    </w:p>
    <w:p>
      <w:pPr>
        <w:pBdr>
          <w:bottom w:val="single" w:color="C9A24A" w:sz="6" w:space="1"/>
        </w:pBdr>
        <w:spacing w:after="120" w:before="80"/>
      </w:pPr>
      <w:r>
        <w:t xml:space="preserve"/>
      </w:r>
    </w:p>
    <w:p>
      <w:pPr>
        <w:pStyle w:val="ListParagraph"/>
        <w:numPr>
          <w:ilvl w:val="0"/>
          <w:numId w:val="3"/>
        </w:numPr>
        <w:spacing w:after="100" w:before="60" w:line="300"/>
      </w:pPr>
      <w:r>
        <w:rPr>
          <w:rFonts w:ascii="Lato" w:cs="Lato" w:eastAsia="Lato" w:hAnsi="Lato"/>
          <w:color w:val="1A1A1A"/>
          <w:sz w:val="22"/>
          <w:szCs w:val="22"/>
        </w:rPr>
        <w:t xml:space="preserve">“RFP” means the Request for Proposal issued by the Association under reference [RFP Reference #], including all attachments, addenda, and the questions-and-answers issued during the solicitation period.</w:t>
      </w:r>
    </w:p>
    <w:p>
      <w:pPr>
        <w:pStyle w:val="ListParagraph"/>
        <w:numPr>
          <w:ilvl w:val="0"/>
          <w:numId w:val="3"/>
        </w:numPr>
        <w:spacing w:after="100" w:before="60" w:line="300"/>
      </w:pPr>
      <w:r>
        <w:rPr>
          <w:rFonts w:ascii="Lato" w:cs="Lato" w:eastAsia="Lato" w:hAnsi="Lato"/>
          <w:color w:val="1A1A1A"/>
          <w:sz w:val="22"/>
          <w:szCs w:val="22"/>
        </w:rPr>
        <w:t xml:space="preserve">“Statement of Work” or “SOW” means Section 3 of the RFP, as further described in Exhibit A.</w:t>
      </w:r>
    </w:p>
    <w:p>
      <w:pPr>
        <w:pStyle w:val="ListParagraph"/>
        <w:numPr>
          <w:ilvl w:val="0"/>
          <w:numId w:val="3"/>
        </w:numPr>
        <w:spacing w:after="100" w:before="60" w:line="300"/>
      </w:pPr>
      <w:r>
        <w:rPr>
          <w:rFonts w:ascii="Lato" w:cs="Lato" w:eastAsia="Lato" w:hAnsi="Lato"/>
          <w:color w:val="1A1A1A"/>
          <w:sz w:val="22"/>
          <w:szCs w:val="22"/>
        </w:rPr>
        <w:t xml:space="preserve">“Vendor’s Proposal” means the proposal submitted by Vendor in response to the RFP and dated [Bid Date], including the Bid Sheet attached as Exhibit B and the Bid Authorization &amp; Affidavit attached as Exhibit C.</w:t>
      </w:r>
    </w:p>
    <w:p>
      <w:pPr>
        <w:pStyle w:val="ListParagraph"/>
        <w:numPr>
          <w:ilvl w:val="0"/>
          <w:numId w:val="3"/>
        </w:numPr>
        <w:spacing w:after="100" w:before="60" w:line="300"/>
      </w:pPr>
      <w:r>
        <w:rPr>
          <w:rFonts w:ascii="Lato" w:cs="Lato" w:eastAsia="Lato" w:hAnsi="Lato"/>
          <w:color w:val="1A1A1A"/>
          <w:sz w:val="22"/>
          <w:szCs w:val="22"/>
        </w:rPr>
        <w:t xml:space="preserve">“Manager” means the Association’s community manager or managing agent designated by the Board from time to time.</w:t>
      </w:r>
    </w:p>
    <w:p>
      <w:pPr>
        <w:pStyle w:val="ListParagraph"/>
        <w:numPr>
          <w:ilvl w:val="0"/>
          <w:numId w:val="3"/>
        </w:numPr>
        <w:spacing w:after="100" w:before="60" w:line="300"/>
      </w:pPr>
      <w:r>
        <w:rPr>
          <w:rFonts w:ascii="Lato" w:cs="Lato" w:eastAsia="Lato" w:hAnsi="Lato"/>
          <w:color w:val="1A1A1A"/>
          <w:sz w:val="22"/>
          <w:szCs w:val="22"/>
        </w:rPr>
        <w:t xml:space="preserve">“Services” means the services described in the Statement of Work, to be performed by Vendor in accordance with this Agreement.</w:t>
      </w:r>
    </w:p>
    <w:p>
      <w:pPr>
        <w:pStyle w:val="ListParagraph"/>
        <w:numPr>
          <w:ilvl w:val="0"/>
          <w:numId w:val="3"/>
        </w:numPr>
        <w:spacing w:after="100" w:before="60" w:line="300"/>
      </w:pPr>
      <w:r>
        <w:rPr>
          <w:rFonts w:ascii="Lato" w:cs="Lato" w:eastAsia="Lato" w:hAnsi="Lato"/>
          <w:color w:val="1A1A1A"/>
          <w:sz w:val="22"/>
          <w:szCs w:val="22"/>
        </w:rPr>
        <w:t xml:space="preserve">“Performance Period” means the period beginning on [Start Date] and ending on [End Date], unless renewed or terminated as provided in this Agreement.</w:t>
      </w:r>
    </w:p>
    <w:p>
      <w:pPr>
        <w:pStyle w:val="ListParagraph"/>
        <w:numPr>
          <w:ilvl w:val="0"/>
          <w:numId w:val="3"/>
        </w:numPr>
        <w:spacing w:after="100" w:before="60" w:line="300"/>
      </w:pPr>
      <w:r>
        <w:rPr>
          <w:rFonts w:ascii="Lato" w:cs="Lato" w:eastAsia="Lato" w:hAnsi="Lato"/>
          <w:color w:val="1A1A1A"/>
          <w:sz w:val="22"/>
          <w:szCs w:val="22"/>
        </w:rPr>
        <w:t xml:space="preserve">“Governing Documents” means the Declaration, Bylaws, Articles of Incorporation, and Rules of the Association, as amended.</w:t>
      </w:r>
    </w:p>
    <w:p>
      <w:pPr>
        <w:spacing w:after="0" w:before="280"/>
      </w:pPr>
      <w:r>
        <w:rPr>
          <w:rFonts w:ascii="Lato" w:cs="Lato" w:eastAsia="Lato" w:hAnsi="Lato"/>
          <w:b/>
          <w:bCs/>
          <w:color w:val="C9A24A"/>
          <w:spacing w:val="120"/>
          <w:sz w:val="16"/>
          <w:szCs w:val="16"/>
        </w:rPr>
        <w:t xml:space="preserve">ARTICLE 2</w:t>
      </w:r>
    </w:p>
    <w:p>
      <w:pPr>
        <w:spacing w:after="60" w:before="0"/>
      </w:pPr>
      <w:r>
        <w:rPr>
          <w:rFonts w:ascii="Garamond" w:cs="Garamond" w:eastAsia="Garamond" w:hAnsi="Garamond"/>
          <w:b/>
          <w:bCs/>
          <w:color w:val="173F35"/>
          <w:sz w:val="30"/>
          <w:szCs w:val="30"/>
        </w:rPr>
        <w:t xml:space="preserve">Scope of Services</w:t>
      </w:r>
    </w:p>
    <w:p>
      <w:pPr>
        <w:pBdr>
          <w:bottom w:val="single" w:color="C9A24A" w:sz="6" w:space="1"/>
        </w:pBdr>
        <w:spacing w:after="120" w:before="80"/>
      </w:pPr>
      <w:r>
        <w:t xml:space="preserve"/>
      </w:r>
    </w:p>
    <w:p>
      <w:pPr>
        <w:pStyle w:val="ListParagraph"/>
        <w:numPr>
          <w:ilvl w:val="0"/>
          <w:numId w:val="4"/>
        </w:numPr>
        <w:spacing w:after="100" w:before="60" w:line="300"/>
      </w:pPr>
      <w:r>
        <w:rPr>
          <w:rFonts w:ascii="Lato" w:cs="Lato" w:eastAsia="Lato" w:hAnsi="Lato"/>
          <w:color w:val="1A1A1A"/>
          <w:sz w:val="22"/>
          <w:szCs w:val="22"/>
        </w:rPr>
        <w:t xml:space="preserve">Vendor shall furnish all labor, materials, supervision, and equipment necessary to perform the Services described in the Statement of Work in accordance with this Agreement and applicable law.</w:t>
      </w:r>
    </w:p>
    <w:p>
      <w:pPr>
        <w:pStyle w:val="ListParagraph"/>
        <w:numPr>
          <w:ilvl w:val="0"/>
          <w:numId w:val="4"/>
        </w:numPr>
        <w:spacing w:after="100" w:before="60" w:line="300"/>
      </w:pPr>
      <w:r>
        <w:rPr>
          <w:rFonts w:ascii="Lato" w:cs="Lato" w:eastAsia="Lato" w:hAnsi="Lato"/>
          <w:color w:val="1A1A1A"/>
          <w:sz w:val="22"/>
          <w:szCs w:val="22"/>
        </w:rPr>
        <w:t xml:space="preserve">The Statement of Work is incorporated into this Agreement by reference as if fully set forth. In the event of any direct conflict between the Statement of Work and this Agreement, this Agreement controls; in the event of any direct conflict between this Agreement and the Governing Documents or applicable law, the Governing Documents and applicable law control.</w:t>
      </w:r>
    </w:p>
    <w:p>
      <w:pPr>
        <w:pStyle w:val="ListParagraph"/>
        <w:numPr>
          <w:ilvl w:val="0"/>
          <w:numId w:val="4"/>
        </w:numPr>
        <w:spacing w:after="100" w:before="60" w:line="300"/>
      </w:pPr>
      <w:r>
        <w:rPr>
          <w:rFonts w:ascii="Lato" w:cs="Lato" w:eastAsia="Lato" w:hAnsi="Lato"/>
          <w:color w:val="1A1A1A"/>
          <w:sz w:val="22"/>
          <w:szCs w:val="22"/>
        </w:rPr>
        <w:t xml:space="preserve">Vendor warrants that the Services will be performed in a timely, workmanlike, and professional manner consistent with the quality standards stated in the Statement of Work.</w:t>
      </w:r>
    </w:p>
    <w:p>
      <w:pPr>
        <w:pStyle w:val="ListParagraph"/>
        <w:numPr>
          <w:ilvl w:val="0"/>
          <w:numId w:val="4"/>
        </w:numPr>
        <w:spacing w:after="100" w:before="60" w:line="300"/>
      </w:pPr>
      <w:r>
        <w:rPr>
          <w:rFonts w:ascii="Lato" w:cs="Lato" w:eastAsia="Lato" w:hAnsi="Lato"/>
          <w:color w:val="1A1A1A"/>
          <w:sz w:val="22"/>
          <w:szCs w:val="22"/>
        </w:rPr>
        <w:t xml:space="preserve">Vendor shall complete each visit during the hours and at the frequency specified in the Statement of Work, except as the Manager may otherwise authorize in writing in advance.</w:t>
      </w:r>
    </w:p>
    <w:p>
      <w:pPr>
        <w:pStyle w:val="ListParagraph"/>
        <w:numPr>
          <w:ilvl w:val="0"/>
          <w:numId w:val="4"/>
        </w:numPr>
        <w:spacing w:after="100" w:before="60" w:line="300"/>
      </w:pPr>
      <w:r>
        <w:rPr>
          <w:rFonts w:ascii="Lato" w:cs="Lato" w:eastAsia="Lato" w:hAnsi="Lato"/>
          <w:color w:val="1A1A1A"/>
          <w:sz w:val="22"/>
          <w:szCs w:val="22"/>
        </w:rPr>
        <w:t xml:space="preserve">Vendor shall not undertake work outside the Scope of Services on the request of any individual director, officer, committee member, owner, resident, or third party. All requests for additional work shall be directed to the Manager and shall not be performed without a written work order approved in advance under Article 4.</w:t>
      </w:r>
    </w:p>
    <w:p>
      <w:pPr>
        <w:spacing w:after="0" w:before="280"/>
      </w:pPr>
      <w:r>
        <w:rPr>
          <w:rFonts w:ascii="Lato" w:cs="Lato" w:eastAsia="Lato" w:hAnsi="Lato"/>
          <w:b/>
          <w:bCs/>
          <w:color w:val="C9A24A"/>
          <w:spacing w:val="120"/>
          <w:sz w:val="16"/>
          <w:szCs w:val="16"/>
        </w:rPr>
        <w:t xml:space="preserve">ARTICLE 3</w:t>
      </w:r>
    </w:p>
    <w:p>
      <w:pPr>
        <w:spacing w:after="60" w:before="0"/>
      </w:pPr>
      <w:r>
        <w:rPr>
          <w:rFonts w:ascii="Garamond" w:cs="Garamond" w:eastAsia="Garamond" w:hAnsi="Garamond"/>
          <w:b/>
          <w:bCs/>
          <w:color w:val="173F35"/>
          <w:sz w:val="30"/>
          <w:szCs w:val="30"/>
        </w:rPr>
        <w:t xml:space="preserve">Term and Renewal</w:t>
      </w:r>
    </w:p>
    <w:p>
      <w:pPr>
        <w:pBdr>
          <w:bottom w:val="single" w:color="C9A24A" w:sz="6" w:space="1"/>
        </w:pBdr>
        <w:spacing w:after="120" w:before="80"/>
      </w:pPr>
      <w:r>
        <w:t xml:space="preserve"/>
      </w:r>
    </w:p>
    <w:p>
      <w:pPr>
        <w:pStyle w:val="ListParagraph"/>
        <w:numPr>
          <w:ilvl w:val="0"/>
          <w:numId w:val="5"/>
        </w:numPr>
        <w:spacing w:after="100" w:before="60" w:line="300"/>
      </w:pPr>
      <w:r>
        <w:rPr>
          <w:rFonts w:ascii="Lato" w:cs="Lato" w:eastAsia="Lato" w:hAnsi="Lato"/>
          <w:color w:val="1A1A1A"/>
          <w:sz w:val="22"/>
          <w:szCs w:val="22"/>
        </w:rPr>
        <w:t xml:space="preserve">The Performance Period is [12 / 24 / 36] months beginning on the date stated on the Cover Sheet.</w:t>
      </w:r>
    </w:p>
    <w:p>
      <w:pPr>
        <w:pStyle w:val="ListParagraph"/>
        <w:numPr>
          <w:ilvl w:val="0"/>
          <w:numId w:val="5"/>
        </w:numPr>
        <w:spacing w:after="100" w:before="60" w:line="300"/>
      </w:pPr>
      <w:r>
        <w:rPr>
          <w:rFonts w:ascii="Lato" w:cs="Lato" w:eastAsia="Lato" w:hAnsi="Lato"/>
          <w:color w:val="1A1A1A"/>
          <w:sz w:val="22"/>
          <w:szCs w:val="22"/>
        </w:rPr>
        <w:t xml:space="preserve">This Agreement shall renew for up to [number] successive one-year terms at the Association’s sole discretion. The Association shall provide written notice of its election to renew not less than thirty (30) days before the end of the then-current term. Vendor shall not assume renewal.</w:t>
      </w:r>
    </w:p>
    <w:p>
      <w:pPr>
        <w:pStyle w:val="ListParagraph"/>
        <w:numPr>
          <w:ilvl w:val="0"/>
          <w:numId w:val="5"/>
        </w:numPr>
        <w:spacing w:after="100" w:before="60" w:line="300"/>
      </w:pPr>
      <w:r>
        <w:rPr>
          <w:rFonts w:ascii="Lato" w:cs="Lato" w:eastAsia="Lato" w:hAnsi="Lato"/>
          <w:color w:val="1A1A1A"/>
          <w:sz w:val="22"/>
          <w:szCs w:val="22"/>
        </w:rPr>
        <w:t xml:space="preserve">Pricing at each renewal shall be subject to the price review provisions in Article 4.</w:t>
      </w:r>
    </w:p>
    <w:p>
      <w:pPr>
        <w:spacing w:after="0" w:before="280"/>
      </w:pPr>
      <w:r>
        <w:rPr>
          <w:rFonts w:ascii="Lato" w:cs="Lato" w:eastAsia="Lato" w:hAnsi="Lato"/>
          <w:b/>
          <w:bCs/>
          <w:color w:val="C9A24A"/>
          <w:spacing w:val="120"/>
          <w:sz w:val="16"/>
          <w:szCs w:val="16"/>
        </w:rPr>
        <w:t xml:space="preserve">ARTICLE 4</w:t>
      </w:r>
    </w:p>
    <w:p>
      <w:pPr>
        <w:spacing w:after="60" w:before="0"/>
      </w:pPr>
      <w:r>
        <w:rPr>
          <w:rFonts w:ascii="Garamond" w:cs="Garamond" w:eastAsia="Garamond" w:hAnsi="Garamond"/>
          <w:b/>
          <w:bCs/>
          <w:color w:val="173F35"/>
          <w:sz w:val="30"/>
          <w:szCs w:val="30"/>
        </w:rPr>
        <w:t xml:space="preserve">Pricing and Payment</w:t>
      </w:r>
    </w:p>
    <w:p>
      <w:pPr>
        <w:pBdr>
          <w:bottom w:val="single" w:color="C9A24A" w:sz="6" w:space="1"/>
        </w:pBdr>
        <w:spacing w:after="120" w:before="80"/>
      </w:pPr>
      <w:r>
        <w:t xml:space="preserve"/>
      </w:r>
    </w:p>
    <w:p>
      <w:pPr>
        <w:pStyle w:val="ListParagraph"/>
        <w:numPr>
          <w:ilvl w:val="0"/>
          <w:numId w:val="6"/>
        </w:numPr>
        <w:spacing w:after="100" w:before="60" w:line="300"/>
      </w:pPr>
      <w:r>
        <w:rPr>
          <w:rFonts w:ascii="Lato" w:cs="Lato" w:eastAsia="Lato" w:hAnsi="Lato"/>
          <w:color w:val="1A1A1A"/>
          <w:sz w:val="22"/>
          <w:szCs w:val="22"/>
        </w:rPr>
        <w:t xml:space="preserve">Vendor shall be paid the monthly fixed-fee for the recurring Services stated in the Bid Sheet attached as Exhibit B, prorated for any partial month at commencement or termination.</w:t>
      </w:r>
    </w:p>
    <w:p>
      <w:pPr>
        <w:pStyle w:val="ListParagraph"/>
        <w:numPr>
          <w:ilvl w:val="0"/>
          <w:numId w:val="6"/>
        </w:numPr>
        <w:spacing w:after="100" w:before="60" w:line="300"/>
      </w:pPr>
      <w:r>
        <w:rPr>
          <w:rFonts w:ascii="Lato" w:cs="Lato" w:eastAsia="Lato" w:hAnsi="Lato"/>
          <w:color w:val="1A1A1A"/>
          <w:sz w:val="22"/>
          <w:szCs w:val="22"/>
        </w:rPr>
        <w:t xml:space="preserve">Annual escalation, if any, shall be as stated in the Bid Sheet. In the absence of a stated escalator, the monthly fee shall remain fixed through the initial Performance Period.</w:t>
      </w:r>
    </w:p>
    <w:p>
      <w:pPr>
        <w:pStyle w:val="ListParagraph"/>
        <w:numPr>
          <w:ilvl w:val="0"/>
          <w:numId w:val="6"/>
        </w:numPr>
        <w:spacing w:after="100" w:before="60" w:line="300"/>
      </w:pPr>
      <w:r>
        <w:rPr>
          <w:rFonts w:ascii="Lato" w:cs="Lato" w:eastAsia="Lato" w:hAnsi="Lato"/>
          <w:color w:val="1A1A1A"/>
          <w:sz w:val="22"/>
          <w:szCs w:val="22"/>
        </w:rPr>
        <w:t xml:space="preserve">All amounts are inclusive of state, local, and any other applicable taxes, except as separately itemized in the Bid Sheet.</w:t>
      </w:r>
    </w:p>
    <w:p>
      <w:pPr>
        <w:pStyle w:val="ListParagraph"/>
        <w:numPr>
          <w:ilvl w:val="0"/>
          <w:numId w:val="6"/>
        </w:numPr>
        <w:spacing w:after="100" w:before="60" w:line="300"/>
      </w:pPr>
      <w:r>
        <w:rPr>
          <w:rFonts w:ascii="Lato" w:cs="Lato" w:eastAsia="Lato" w:hAnsi="Lato"/>
          <w:color w:val="1A1A1A"/>
          <w:sz w:val="22"/>
          <w:szCs w:val="22"/>
        </w:rPr>
        <w:t xml:space="preserve">As-needed labor and material services shall be performed only upon a written work order approved in advance by the Manager. Labor shall be billed at the rates in the Bid Sheet; materials shall be billed at cost plus the markup percentage in the Bid Sheet.</w:t>
      </w:r>
    </w:p>
    <w:p>
      <w:pPr>
        <w:pStyle w:val="ListParagraph"/>
        <w:numPr>
          <w:ilvl w:val="0"/>
          <w:numId w:val="6"/>
        </w:numPr>
        <w:spacing w:after="100" w:before="60" w:line="300"/>
      </w:pPr>
      <w:r>
        <w:rPr>
          <w:rFonts w:ascii="Lato" w:cs="Lato" w:eastAsia="Lato" w:hAnsi="Lato"/>
          <w:color w:val="1A1A1A"/>
          <w:sz w:val="22"/>
          <w:szCs w:val="22"/>
        </w:rPr>
        <w:t xml:space="preserve">Vendor shall invoice the Association monthly on or before the [5th] day of each month for Services performed in the prior month, in a format acceptable to the Manager. The Association shall pay properly submitted invoices within thirty (30) days of receipt.</w:t>
      </w:r>
    </w:p>
    <w:p>
      <w:pPr>
        <w:pStyle w:val="ListParagraph"/>
        <w:numPr>
          <w:ilvl w:val="0"/>
          <w:numId w:val="6"/>
        </w:numPr>
        <w:spacing w:after="100" w:before="60" w:line="300"/>
      </w:pPr>
      <w:r>
        <w:rPr>
          <w:rFonts w:ascii="Lato" w:cs="Lato" w:eastAsia="Lato" w:hAnsi="Lato"/>
          <w:color w:val="1A1A1A"/>
          <w:sz w:val="22"/>
          <w:szCs w:val="22"/>
        </w:rPr>
        <w:t xml:space="preserve">The Association may withhold payment for any portion of an invoice in dispute, provided the Association notifies Vendor in writing of the dispute within fifteen (15) business days of invoice receipt. The Parties shall meet in good faith to resolve the dispute promptly.</w:t>
      </w:r>
    </w:p>
    <w:p>
      <w:pPr>
        <w:pStyle w:val="ListParagraph"/>
        <w:numPr>
          <w:ilvl w:val="0"/>
          <w:numId w:val="6"/>
        </w:numPr>
        <w:spacing w:after="100" w:before="60" w:line="300"/>
      </w:pPr>
      <w:r>
        <w:rPr>
          <w:rFonts w:ascii="Lato" w:cs="Lato" w:eastAsia="Lato" w:hAnsi="Lato"/>
          <w:color w:val="1A1A1A"/>
          <w:sz w:val="22"/>
          <w:szCs w:val="22"/>
        </w:rPr>
        <w:t xml:space="preserve">Vendor shall maintain accurate records of work performed, materials supplied, and as-needed services billed, and shall make those records available to the Association on reasonable request through the Performance Period and for one (1) year thereafter.</w:t>
      </w:r>
    </w:p>
    <w:p>
      <w:pPr>
        <w:spacing w:after="0" w:before="280"/>
      </w:pPr>
      <w:r>
        <w:rPr>
          <w:rFonts w:ascii="Lato" w:cs="Lato" w:eastAsia="Lato" w:hAnsi="Lato"/>
          <w:b/>
          <w:bCs/>
          <w:color w:val="C9A24A"/>
          <w:spacing w:val="120"/>
          <w:sz w:val="16"/>
          <w:szCs w:val="16"/>
        </w:rPr>
        <w:t xml:space="preserve">ARTICLE 5</w:t>
      </w:r>
    </w:p>
    <w:p>
      <w:pPr>
        <w:spacing w:after="60" w:before="0"/>
      </w:pPr>
      <w:r>
        <w:rPr>
          <w:rFonts w:ascii="Garamond" w:cs="Garamond" w:eastAsia="Garamond" w:hAnsi="Garamond"/>
          <w:b/>
          <w:bCs/>
          <w:color w:val="173F35"/>
          <w:sz w:val="30"/>
          <w:szCs w:val="30"/>
        </w:rPr>
        <w:t xml:space="preserve">Performance Standards and Reporting</w:t>
      </w:r>
    </w:p>
    <w:p>
      <w:pPr>
        <w:pBdr>
          <w:bottom w:val="single" w:color="C9A24A" w:sz="6" w:space="1"/>
        </w:pBdr>
        <w:spacing w:after="120" w:before="80"/>
      </w:pPr>
      <w:r>
        <w:t xml:space="preserve"/>
      </w:r>
    </w:p>
    <w:p>
      <w:pPr>
        <w:pStyle w:val="ListParagraph"/>
        <w:numPr>
          <w:ilvl w:val="0"/>
          <w:numId w:val="7"/>
        </w:numPr>
        <w:spacing w:after="100" w:before="60" w:line="300"/>
      </w:pPr>
      <w:r>
        <w:rPr>
          <w:rFonts w:ascii="Lato" w:cs="Lato" w:eastAsia="Lato" w:hAnsi="Lato"/>
          <w:color w:val="1A1A1A"/>
          <w:sz w:val="22"/>
          <w:szCs w:val="22"/>
        </w:rPr>
        <w:t xml:space="preserve">Vendor shall meet the quality standards stated in Section 3 of the Statement of Work and shall reasonably cooperate with the Manager’s monthly walk-through and quarterly Board walk-through.</w:t>
      </w:r>
    </w:p>
    <w:p>
      <w:pPr>
        <w:pStyle w:val="ListParagraph"/>
        <w:numPr>
          <w:ilvl w:val="0"/>
          <w:numId w:val="7"/>
        </w:numPr>
        <w:spacing w:after="100" w:before="60" w:line="300"/>
      </w:pPr>
      <w:r>
        <w:rPr>
          <w:rFonts w:ascii="Lato" w:cs="Lato" w:eastAsia="Lato" w:hAnsi="Lato"/>
          <w:color w:val="1A1A1A"/>
          <w:sz w:val="22"/>
          <w:szCs w:val="22"/>
        </w:rPr>
        <w:t xml:space="preserve">Vendor shall provide a written monthly work report to the Manager within five (5) business days of month-end, in the format described in the Statement of Work, including a summary of work performed, observations, photographs of any deficiencies, and recommendations.</w:t>
      </w:r>
    </w:p>
    <w:p>
      <w:pPr>
        <w:pStyle w:val="ListParagraph"/>
        <w:numPr>
          <w:ilvl w:val="0"/>
          <w:numId w:val="7"/>
        </w:numPr>
        <w:spacing w:after="100" w:before="60" w:line="300"/>
      </w:pPr>
      <w:r>
        <w:rPr>
          <w:rFonts w:ascii="Lato" w:cs="Lato" w:eastAsia="Lato" w:hAnsi="Lato"/>
          <w:color w:val="1A1A1A"/>
          <w:sz w:val="22"/>
          <w:szCs w:val="22"/>
        </w:rPr>
        <w:t xml:space="preserve">Vendor shall acknowledge in writing any service request submitted by the Manager within forty-eight (48) hours of receipt and shall provide a written response (including timing for any work) within five (5) business days.</w:t>
      </w:r>
    </w:p>
    <w:p>
      <w:pPr>
        <w:pStyle w:val="ListParagraph"/>
        <w:numPr>
          <w:ilvl w:val="0"/>
          <w:numId w:val="7"/>
        </w:numPr>
        <w:spacing w:after="100" w:before="60" w:line="300"/>
      </w:pPr>
      <w:r>
        <w:rPr>
          <w:rFonts w:ascii="Lato" w:cs="Lato" w:eastAsia="Lato" w:hAnsi="Lato"/>
          <w:color w:val="1A1A1A"/>
          <w:sz w:val="22"/>
          <w:szCs w:val="22"/>
        </w:rPr>
        <w:t xml:space="preserve">Persistent failure to meet the quality standards stated in the Statement of Work, after written notice and a reasonable opportunity to cure, shall constitute a material breach for purposes of Article 9.</w:t>
      </w:r>
    </w:p>
    <w:p>
      <w:pPr>
        <w:spacing w:after="0" w:before="280"/>
      </w:pPr>
      <w:r>
        <w:rPr>
          <w:rFonts w:ascii="Lato" w:cs="Lato" w:eastAsia="Lato" w:hAnsi="Lato"/>
          <w:b/>
          <w:bCs/>
          <w:color w:val="C9A24A"/>
          <w:spacing w:val="120"/>
          <w:sz w:val="16"/>
          <w:szCs w:val="16"/>
        </w:rPr>
        <w:t xml:space="preserve">ARTICLE 6</w:t>
      </w:r>
    </w:p>
    <w:p>
      <w:pPr>
        <w:spacing w:after="60" w:before="0"/>
      </w:pPr>
      <w:r>
        <w:rPr>
          <w:rFonts w:ascii="Garamond" w:cs="Garamond" w:eastAsia="Garamond" w:hAnsi="Garamond"/>
          <w:b/>
          <w:bCs/>
          <w:color w:val="173F35"/>
          <w:sz w:val="30"/>
          <w:szCs w:val="30"/>
        </w:rPr>
        <w:t xml:space="preserve">Personnel, Subcontractors, and Independent Contractor Status</w:t>
      </w:r>
    </w:p>
    <w:p>
      <w:pPr>
        <w:pBdr>
          <w:bottom w:val="single" w:color="C9A24A" w:sz="6" w:space="1"/>
        </w:pBdr>
        <w:spacing w:after="120" w:before="80"/>
      </w:pPr>
      <w:r>
        <w:t xml:space="preserve"/>
      </w:r>
    </w:p>
    <w:p>
      <w:pPr>
        <w:pStyle w:val="ListParagraph"/>
        <w:numPr>
          <w:ilvl w:val="0"/>
          <w:numId w:val="8"/>
        </w:numPr>
        <w:spacing w:after="100" w:before="60" w:line="300"/>
      </w:pPr>
      <w:r>
        <w:rPr>
          <w:rFonts w:ascii="Lato" w:cs="Lato" w:eastAsia="Lato" w:hAnsi="Lato"/>
          <w:color w:val="1A1A1A"/>
          <w:sz w:val="22"/>
          <w:szCs w:val="22"/>
        </w:rPr>
        <w:t xml:space="preserve">Vendor shall assign and identify by name a single Account Manager dedicated to the Association for the Performance Period.</w:t>
      </w:r>
    </w:p>
    <w:p>
      <w:pPr>
        <w:pStyle w:val="ListParagraph"/>
        <w:numPr>
          <w:ilvl w:val="0"/>
          <w:numId w:val="8"/>
        </w:numPr>
        <w:spacing w:after="100" w:before="60" w:line="300"/>
      </w:pPr>
      <w:r>
        <w:rPr>
          <w:rFonts w:ascii="Lato" w:cs="Lato" w:eastAsia="Lato" w:hAnsi="Lato"/>
          <w:color w:val="1A1A1A"/>
          <w:sz w:val="22"/>
          <w:szCs w:val="22"/>
        </w:rPr>
        <w:t xml:space="preserve">Vendor shall identify by name the on-site supervisor or crew lead and shall make that person reachable by phone during service hours.</w:t>
      </w:r>
    </w:p>
    <w:p>
      <w:pPr>
        <w:pStyle w:val="ListParagraph"/>
        <w:numPr>
          <w:ilvl w:val="0"/>
          <w:numId w:val="8"/>
        </w:numPr>
        <w:spacing w:after="100" w:before="60" w:line="300"/>
      </w:pPr>
      <w:r>
        <w:rPr>
          <w:rFonts w:ascii="Lato" w:cs="Lato" w:eastAsia="Lato" w:hAnsi="Lato"/>
          <w:color w:val="1A1A1A"/>
          <w:sz w:val="22"/>
          <w:szCs w:val="22"/>
        </w:rPr>
        <w:t xml:space="preserve">Vendor is an independent contractor. Nothing in this Agreement creates an employer-employee, partnership, joint venture, or agency relationship between the Parties. Vendor’s personnel are not employees of the Association and are not eligible for any Association benefit.</w:t>
      </w:r>
    </w:p>
    <w:p>
      <w:pPr>
        <w:pStyle w:val="ListParagraph"/>
        <w:numPr>
          <w:ilvl w:val="0"/>
          <w:numId w:val="8"/>
        </w:numPr>
        <w:spacing w:after="100" w:before="60" w:line="300"/>
      </w:pPr>
      <w:r>
        <w:rPr>
          <w:rFonts w:ascii="Lato" w:cs="Lato" w:eastAsia="Lato" w:hAnsi="Lato"/>
          <w:color w:val="1A1A1A"/>
          <w:sz w:val="22"/>
          <w:szCs w:val="22"/>
        </w:rPr>
        <w:t xml:space="preserve">Vendor is solely responsible for compliance with all applicable wage, hour, tax, workers’ compensation, immigration, and employment laws with respect to Vendor’s personnel.</w:t>
      </w:r>
    </w:p>
    <w:p>
      <w:pPr>
        <w:pStyle w:val="ListParagraph"/>
        <w:numPr>
          <w:ilvl w:val="0"/>
          <w:numId w:val="8"/>
        </w:numPr>
        <w:spacing w:after="100" w:before="60" w:line="300"/>
      </w:pPr>
      <w:r>
        <w:rPr>
          <w:rFonts w:ascii="Lato" w:cs="Lato" w:eastAsia="Lato" w:hAnsi="Lato"/>
          <w:color w:val="1A1A1A"/>
          <w:sz w:val="22"/>
          <w:szCs w:val="22"/>
        </w:rPr>
        <w:t xml:space="preserve">Vendor shall not subcontract any portion of the Services without the Manager’s prior written consent. Any approved subcontractor shall be bound by terms no less protective of the Association than this Agreement, including the insurance and indemnity requirements.</w:t>
      </w:r>
    </w:p>
    <w:p>
      <w:pPr>
        <w:pStyle w:val="ListParagraph"/>
        <w:numPr>
          <w:ilvl w:val="0"/>
          <w:numId w:val="8"/>
        </w:numPr>
        <w:spacing w:after="100" w:before="60" w:line="300"/>
      </w:pPr>
      <w:r>
        <w:rPr>
          <w:rFonts w:ascii="Lato" w:cs="Lato" w:eastAsia="Lato" w:hAnsi="Lato"/>
          <w:color w:val="1A1A1A"/>
          <w:sz w:val="22"/>
          <w:szCs w:val="22"/>
        </w:rPr>
        <w:t xml:space="preserve">Vendor shall not solicit for employment any person then employed by the Association or by another vendor under contract to the Association during the Performance Period and for a period of twelve (12) months thereafter, without the Association’s prior written consent.</w:t>
      </w:r>
    </w:p>
    <w:p>
      <w:pPr>
        <w:spacing w:after="0" w:before="280"/>
      </w:pPr>
      <w:r>
        <w:rPr>
          <w:rFonts w:ascii="Lato" w:cs="Lato" w:eastAsia="Lato" w:hAnsi="Lato"/>
          <w:b/>
          <w:bCs/>
          <w:color w:val="C9A24A"/>
          <w:spacing w:val="120"/>
          <w:sz w:val="16"/>
          <w:szCs w:val="16"/>
        </w:rPr>
        <w:t xml:space="preserve">ARTICLE 7</w:t>
      </w:r>
    </w:p>
    <w:p>
      <w:pPr>
        <w:spacing w:after="60" w:before="0"/>
      </w:pPr>
      <w:r>
        <w:rPr>
          <w:rFonts w:ascii="Garamond" w:cs="Garamond" w:eastAsia="Garamond" w:hAnsi="Garamond"/>
          <w:b/>
          <w:bCs/>
          <w:color w:val="173F35"/>
          <w:sz w:val="30"/>
          <w:szCs w:val="30"/>
        </w:rPr>
        <w:t xml:space="preserve">Insurance</w:t>
      </w:r>
    </w:p>
    <w:p>
      <w:pPr>
        <w:pBdr>
          <w:bottom w:val="single" w:color="C9A24A" w:sz="6" w:space="1"/>
        </w:pBdr>
        <w:spacing w:after="120" w:before="80"/>
      </w:pPr>
      <w:r>
        <w:t xml:space="preserve"/>
      </w:r>
    </w:p>
    <w:p>
      <w:pPr>
        <w:pStyle w:val="ListParagraph"/>
        <w:numPr>
          <w:ilvl w:val="0"/>
          <w:numId w:val="9"/>
        </w:numPr>
        <w:spacing w:after="100" w:before="60" w:line="300"/>
      </w:pPr>
      <w:r>
        <w:rPr>
          <w:rFonts w:ascii="Lato" w:cs="Lato" w:eastAsia="Lato" w:hAnsi="Lato"/>
          <w:color w:val="1A1A1A"/>
          <w:sz w:val="22"/>
          <w:szCs w:val="22"/>
        </w:rPr>
        <w:t xml:space="preserve">Vendor shall maintain, at its sole expense, throughout the Performance Period, the insurance coverages described in Section 9 of the RFP, including: Commercial General Liability of not less than $1,000,000 per occurrence and $2,000,000 aggregate; Commercial Auto Liability of not less than $1,000,000 combined single limit; Workers’ Compensation at the statutory limit applicable in the state of operation and Employer’s Liability of not less than $1,000,000 per accident/disease/disease policy limit; and any additional coverages specified in the RFP for the relevant service category (e.g., pesticide / pollution liability for landscape and pest scopes; chemical / pollution liability for pool scopes).</w:t>
      </w:r>
    </w:p>
    <w:p>
      <w:pPr>
        <w:pStyle w:val="ListParagraph"/>
        <w:numPr>
          <w:ilvl w:val="0"/>
          <w:numId w:val="9"/>
        </w:numPr>
        <w:spacing w:after="100" w:before="60" w:line="300"/>
      </w:pPr>
      <w:r>
        <w:rPr>
          <w:rFonts w:ascii="Lato" w:cs="Lato" w:eastAsia="Lato" w:hAnsi="Lato"/>
          <w:color w:val="1A1A1A"/>
          <w:sz w:val="22"/>
          <w:szCs w:val="22"/>
        </w:rPr>
        <w:t xml:space="preserve">The Association and its Board, Manager, and Managing Agent shall be named as additional insureds on the Commercial General Liability and Commercial Auto Liability policies on a primary, non-contributory basis.</w:t>
      </w:r>
    </w:p>
    <w:p>
      <w:pPr>
        <w:pStyle w:val="ListParagraph"/>
        <w:numPr>
          <w:ilvl w:val="0"/>
          <w:numId w:val="9"/>
        </w:numPr>
        <w:spacing w:after="100" w:before="60" w:line="300"/>
      </w:pPr>
      <w:r>
        <w:rPr>
          <w:rFonts w:ascii="Lato" w:cs="Lato" w:eastAsia="Lato" w:hAnsi="Lato"/>
          <w:color w:val="1A1A1A"/>
          <w:sz w:val="22"/>
          <w:szCs w:val="22"/>
        </w:rPr>
        <w:t xml:space="preserve">Vendor shall deliver Certificates of Insurance evidencing the required coverages, with the required additional-insured endorsements attached, before commencement of the Services and at each renewal of the underlying policy.</w:t>
      </w:r>
    </w:p>
    <w:p>
      <w:pPr>
        <w:pStyle w:val="ListParagraph"/>
        <w:numPr>
          <w:ilvl w:val="0"/>
          <w:numId w:val="9"/>
        </w:numPr>
        <w:spacing w:after="100" w:before="60" w:line="300"/>
      </w:pPr>
      <w:r>
        <w:rPr>
          <w:rFonts w:ascii="Lato" w:cs="Lato" w:eastAsia="Lato" w:hAnsi="Lato"/>
          <w:color w:val="1A1A1A"/>
          <w:sz w:val="22"/>
          <w:szCs w:val="22"/>
        </w:rPr>
        <w:t xml:space="preserve">Each policy shall provide thirty (30) days’ written notice to the Association in the event of cancellation or material change.</w:t>
      </w:r>
    </w:p>
    <w:p>
      <w:pPr>
        <w:pStyle w:val="ListParagraph"/>
        <w:numPr>
          <w:ilvl w:val="0"/>
          <w:numId w:val="9"/>
        </w:numPr>
        <w:spacing w:after="100" w:before="60" w:line="300"/>
      </w:pPr>
      <w:r>
        <w:rPr>
          <w:rFonts w:ascii="Lato" w:cs="Lato" w:eastAsia="Lato" w:hAnsi="Lato"/>
          <w:color w:val="1A1A1A"/>
          <w:sz w:val="22"/>
          <w:szCs w:val="22"/>
        </w:rPr>
        <w:t xml:space="preserve">Vendor’s insurance obligations are not limited by the indemnification obligations in Article 8.</w:t>
      </w:r>
    </w:p>
    <w:p>
      <w:pPr>
        <w:spacing w:after="0" w:before="280"/>
      </w:pPr>
      <w:r>
        <w:rPr>
          <w:rFonts w:ascii="Lato" w:cs="Lato" w:eastAsia="Lato" w:hAnsi="Lato"/>
          <w:b/>
          <w:bCs/>
          <w:color w:val="C9A24A"/>
          <w:spacing w:val="120"/>
          <w:sz w:val="16"/>
          <w:szCs w:val="16"/>
        </w:rPr>
        <w:t xml:space="preserve">ARTICLE 8</w:t>
      </w:r>
    </w:p>
    <w:p>
      <w:pPr>
        <w:spacing w:after="60" w:before="0"/>
      </w:pPr>
      <w:r>
        <w:rPr>
          <w:rFonts w:ascii="Garamond" w:cs="Garamond" w:eastAsia="Garamond" w:hAnsi="Garamond"/>
          <w:b/>
          <w:bCs/>
          <w:color w:val="173F35"/>
          <w:sz w:val="30"/>
          <w:szCs w:val="30"/>
        </w:rPr>
        <w:t xml:space="preserve">Indemnification</w:t>
      </w:r>
    </w:p>
    <w:p>
      <w:pPr>
        <w:pBdr>
          <w:bottom w:val="single" w:color="C9A24A" w:sz="6" w:space="1"/>
        </w:pBdr>
        <w:spacing w:after="120" w:before="80"/>
      </w:pPr>
      <w:r>
        <w:t xml:space="preserve"/>
      </w:r>
    </w:p>
    <w:p>
      <w:pPr>
        <w:pStyle w:val="ListParagraph"/>
        <w:numPr>
          <w:ilvl w:val="0"/>
          <w:numId w:val="10"/>
        </w:numPr>
        <w:spacing w:after="100" w:before="60" w:line="300"/>
      </w:pPr>
      <w:r>
        <w:rPr>
          <w:rFonts w:ascii="Lato" w:cs="Lato" w:eastAsia="Lato" w:hAnsi="Lato"/>
          <w:color w:val="1A1A1A"/>
          <w:sz w:val="22"/>
          <w:szCs w:val="22"/>
        </w:rPr>
        <w:t xml:space="preserve">To the fullest extent permitted by applicable law, Vendor shall defend, indemnify, and hold harmless the Association, its Board, Officers, Committee Members, Manager, Managing Agent, and their respective agents and employees (each an “Indemnified Party”) from and against any and all claims, demands, suits, judgments, losses, liabilities, damages, costs, and expenses (including reasonable attorneys’ fees) arising out of or resulting from: (a) Vendor’s performance or breach of this Agreement; (b) any negligent, reckless, or intentionally wrongful act or omission of Vendor or any of its officers, employees, agents, or subcontractors; (c) any property damage or bodily injury caused by Vendor or those for whom Vendor is responsible; or (d) any violation of applicable law by Vendor.</w:t>
      </w:r>
    </w:p>
    <w:p>
      <w:pPr>
        <w:pStyle w:val="ListParagraph"/>
        <w:numPr>
          <w:ilvl w:val="0"/>
          <w:numId w:val="10"/>
        </w:numPr>
        <w:spacing w:after="100" w:before="60" w:line="300"/>
      </w:pPr>
      <w:r>
        <w:rPr>
          <w:rFonts w:ascii="Lato" w:cs="Lato" w:eastAsia="Lato" w:hAnsi="Lato"/>
          <w:color w:val="1A1A1A"/>
          <w:sz w:val="22"/>
          <w:szCs w:val="22"/>
        </w:rPr>
        <w:t xml:space="preserve">Vendor’s indemnification obligations apply regardless of whether an Indemnified Party’s own negligence is alleged to have contributed to the claim, except to the extent caused by the sole negligence or willful misconduct of the Indemnified Party.</w:t>
      </w:r>
    </w:p>
    <w:p>
      <w:pPr>
        <w:pStyle w:val="ListParagraph"/>
        <w:numPr>
          <w:ilvl w:val="0"/>
          <w:numId w:val="10"/>
        </w:numPr>
        <w:spacing w:after="100" w:before="60" w:line="300"/>
      </w:pPr>
      <w:r>
        <w:rPr>
          <w:rFonts w:ascii="Lato" w:cs="Lato" w:eastAsia="Lato" w:hAnsi="Lato"/>
          <w:color w:val="1A1A1A"/>
          <w:sz w:val="22"/>
          <w:szCs w:val="22"/>
        </w:rPr>
        <w:t xml:space="preserve">An Indemnified Party shall provide prompt written notice of any claim subject to indemnification and reasonable cooperation in the defense; failure to provide prompt notice shall reduce Vendor’s indemnification obligation only to the extent Vendor is materially prejudiced.</w:t>
      </w:r>
    </w:p>
    <w:p>
      <w:pPr>
        <w:spacing w:after="0" w:before="280"/>
      </w:pPr>
      <w:r>
        <w:rPr>
          <w:rFonts w:ascii="Lato" w:cs="Lato" w:eastAsia="Lato" w:hAnsi="Lato"/>
          <w:b/>
          <w:bCs/>
          <w:color w:val="C9A24A"/>
          <w:spacing w:val="120"/>
          <w:sz w:val="16"/>
          <w:szCs w:val="16"/>
        </w:rPr>
        <w:t xml:space="preserve">ARTICLE 9</w:t>
      </w:r>
    </w:p>
    <w:p>
      <w:pPr>
        <w:spacing w:after="60" w:before="0"/>
      </w:pPr>
      <w:r>
        <w:rPr>
          <w:rFonts w:ascii="Garamond" w:cs="Garamond" w:eastAsia="Garamond" w:hAnsi="Garamond"/>
          <w:b/>
          <w:bCs/>
          <w:color w:val="173F35"/>
          <w:sz w:val="30"/>
          <w:szCs w:val="30"/>
        </w:rPr>
        <w:t xml:space="preserve">Default, Cure, and Termination</w:t>
      </w:r>
    </w:p>
    <w:p>
      <w:pPr>
        <w:pBdr>
          <w:bottom w:val="single" w:color="C9A24A" w:sz="6" w:space="1"/>
        </w:pBdr>
        <w:spacing w:after="120" w:before="80"/>
      </w:pPr>
      <w:r>
        <w:t xml:space="preserve"/>
      </w:r>
    </w:p>
    <w:p>
      <w:pPr>
        <w:pStyle w:val="ListParagraph"/>
        <w:numPr>
          <w:ilvl w:val="0"/>
          <w:numId w:val="11"/>
        </w:numPr>
        <w:spacing w:after="100" w:before="60" w:line="300"/>
      </w:pPr>
      <w:r>
        <w:rPr>
          <w:rFonts w:ascii="Lato" w:cs="Lato" w:eastAsia="Lato" w:hAnsi="Lato"/>
          <w:color w:val="1A1A1A"/>
          <w:sz w:val="22"/>
          <w:szCs w:val="22"/>
        </w:rPr>
        <w:t xml:space="preserve">“Material Breach” means: (a) failure to perform any material obligation under this Agreement, including failure to meet the quality standards in the Statement of Work; (b) failure to maintain the insurance coverages required by Article 7; (c) violation of any applicable law in a manner that materially affects performance; (d) any assignment for the benefit of creditors or filing of bankruptcy by Vendor; or (e) any other event that the Parties expressly designate in writing as a Material Breach.</w:t>
      </w:r>
    </w:p>
    <w:p>
      <w:pPr>
        <w:pStyle w:val="ListParagraph"/>
        <w:numPr>
          <w:ilvl w:val="0"/>
          <w:numId w:val="11"/>
        </w:numPr>
        <w:spacing w:after="100" w:before="60" w:line="300"/>
      </w:pPr>
      <w:r>
        <w:rPr>
          <w:rFonts w:ascii="Lato" w:cs="Lato" w:eastAsia="Lato" w:hAnsi="Lato"/>
          <w:color w:val="1A1A1A"/>
          <w:sz w:val="22"/>
          <w:szCs w:val="22"/>
        </w:rPr>
        <w:t xml:space="preserve">Upon notice of a Material Breach, the breaching Party shall have ten (10) calendar days from receipt of written notice within which to cure, unless the notice specifies a longer cure period reasonable in light of the breach.</w:t>
      </w:r>
    </w:p>
    <w:p>
      <w:pPr>
        <w:pStyle w:val="ListParagraph"/>
        <w:numPr>
          <w:ilvl w:val="0"/>
          <w:numId w:val="11"/>
        </w:numPr>
        <w:spacing w:after="100" w:before="60" w:line="300"/>
      </w:pPr>
      <w:r>
        <w:rPr>
          <w:rFonts w:ascii="Lato" w:cs="Lato" w:eastAsia="Lato" w:hAnsi="Lato"/>
          <w:color w:val="1A1A1A"/>
          <w:sz w:val="22"/>
          <w:szCs w:val="22"/>
        </w:rPr>
        <w:t xml:space="preserve">Termination for Cause. Either Party may terminate this Agreement immediately on written notice if the breaching Party fails to cure a Material Breach within the cure period.</w:t>
      </w:r>
    </w:p>
    <w:p>
      <w:pPr>
        <w:pStyle w:val="ListParagraph"/>
        <w:numPr>
          <w:ilvl w:val="0"/>
          <w:numId w:val="11"/>
        </w:numPr>
        <w:spacing w:after="100" w:before="60" w:line="300"/>
      </w:pPr>
      <w:r>
        <w:rPr>
          <w:rFonts w:ascii="Lato" w:cs="Lato" w:eastAsia="Lato" w:hAnsi="Lato"/>
          <w:color w:val="1A1A1A"/>
          <w:sz w:val="22"/>
          <w:szCs w:val="22"/>
        </w:rPr>
        <w:t xml:space="preserve">Termination for Convenience. The Association may terminate this Agreement at any time, with or without cause, on thirty (30) days’ written notice to Vendor, without penalty. Vendor may terminate this Agreement for convenience on sixty (60) days’ written notice to the Association.</w:t>
      </w:r>
    </w:p>
    <w:p>
      <w:pPr>
        <w:pStyle w:val="ListParagraph"/>
        <w:numPr>
          <w:ilvl w:val="0"/>
          <w:numId w:val="11"/>
        </w:numPr>
        <w:spacing w:after="100" w:before="60" w:line="300"/>
      </w:pPr>
      <w:r>
        <w:rPr>
          <w:rFonts w:ascii="Lato" w:cs="Lato" w:eastAsia="Lato" w:hAnsi="Lato"/>
          <w:color w:val="1A1A1A"/>
          <w:sz w:val="22"/>
          <w:szCs w:val="22"/>
        </w:rPr>
        <w:t xml:space="preserve">Effect of Termination. On termination, Vendor shall be paid the prorated portion of the monthly fee earned through the effective date of termination, plus the cost of any approved work order completed before that date. Vendor shall not be entitled to any other compensation, including any termination fee, liquidated damages, or recovery of lost profits.</w:t>
      </w:r>
    </w:p>
    <w:p>
      <w:pPr>
        <w:pStyle w:val="ListParagraph"/>
        <w:numPr>
          <w:ilvl w:val="0"/>
          <w:numId w:val="11"/>
        </w:numPr>
        <w:spacing w:after="100" w:before="60" w:line="300"/>
      </w:pPr>
      <w:r>
        <w:rPr>
          <w:rFonts w:ascii="Lato" w:cs="Lato" w:eastAsia="Lato" w:hAnsi="Lato"/>
          <w:color w:val="1A1A1A"/>
          <w:sz w:val="22"/>
          <w:szCs w:val="22"/>
        </w:rPr>
        <w:t xml:space="preserve">Survival. The provisions of Articles 7 (Insurance — for the duration of any policy tail required), 8 (Indemnification), 10 (Confidentiality), 11 (Lien Waivers), 12 (Governing Law), and 13 (General Provisions) survive termination.</w:t>
      </w:r>
    </w:p>
    <w:p>
      <w:pPr>
        <w:spacing w:after="0" w:before="280"/>
      </w:pPr>
      <w:r>
        <w:rPr>
          <w:rFonts w:ascii="Lato" w:cs="Lato" w:eastAsia="Lato" w:hAnsi="Lato"/>
          <w:b/>
          <w:bCs/>
          <w:color w:val="C9A24A"/>
          <w:spacing w:val="120"/>
          <w:sz w:val="16"/>
          <w:szCs w:val="16"/>
        </w:rPr>
        <w:t xml:space="preserve">ARTICLE 10</w:t>
      </w:r>
    </w:p>
    <w:p>
      <w:pPr>
        <w:spacing w:after="60" w:before="0"/>
      </w:pPr>
      <w:r>
        <w:rPr>
          <w:rFonts w:ascii="Garamond" w:cs="Garamond" w:eastAsia="Garamond" w:hAnsi="Garamond"/>
          <w:b/>
          <w:bCs/>
          <w:color w:val="173F35"/>
          <w:sz w:val="30"/>
          <w:szCs w:val="30"/>
        </w:rPr>
        <w:t xml:space="preserve">Confidentiality and Conflicts of Interest</w:t>
      </w:r>
    </w:p>
    <w:p>
      <w:pPr>
        <w:pBdr>
          <w:bottom w:val="single" w:color="C9A24A" w:sz="6" w:space="1"/>
        </w:pBdr>
        <w:spacing w:after="120" w:before="80"/>
      </w:pPr>
      <w:r>
        <w:t xml:space="preserve"/>
      </w:r>
    </w:p>
    <w:p>
      <w:pPr>
        <w:pStyle w:val="ListParagraph"/>
        <w:numPr>
          <w:ilvl w:val="0"/>
          <w:numId w:val="12"/>
        </w:numPr>
        <w:spacing w:after="100" w:before="60" w:line="300"/>
      </w:pPr>
      <w:r>
        <w:rPr>
          <w:rFonts w:ascii="Lato" w:cs="Lato" w:eastAsia="Lato" w:hAnsi="Lato"/>
          <w:color w:val="1A1A1A"/>
          <w:sz w:val="22"/>
          <w:szCs w:val="22"/>
        </w:rPr>
        <w:t xml:space="preserve">Vendor shall safeguard non-public information about the Association, its members, residents, employees, and finances, and shall not disclose such information to any third party except as required by law or with the Association’s prior written consent.</w:t>
      </w:r>
    </w:p>
    <w:p>
      <w:pPr>
        <w:pStyle w:val="ListParagraph"/>
        <w:numPr>
          <w:ilvl w:val="0"/>
          <w:numId w:val="12"/>
        </w:numPr>
        <w:spacing w:after="100" w:before="60" w:line="300"/>
      </w:pPr>
      <w:r>
        <w:rPr>
          <w:rFonts w:ascii="Lato" w:cs="Lato" w:eastAsia="Lato" w:hAnsi="Lato"/>
          <w:color w:val="1A1A1A"/>
          <w:sz w:val="22"/>
          <w:szCs w:val="22"/>
        </w:rPr>
        <w:t xml:space="preserve">Vendor’s officers and key personnel shall comply with the Association’s Code of Ethics as it relates to vendor conduct, including limits on gifts and gratuities to Association directors, officers, committee members, and management.</w:t>
      </w:r>
    </w:p>
    <w:p>
      <w:pPr>
        <w:pStyle w:val="ListParagraph"/>
        <w:numPr>
          <w:ilvl w:val="0"/>
          <w:numId w:val="12"/>
        </w:numPr>
        <w:spacing w:after="100" w:before="60" w:line="300"/>
      </w:pPr>
      <w:r>
        <w:rPr>
          <w:rFonts w:ascii="Lato" w:cs="Lato" w:eastAsia="Lato" w:hAnsi="Lato"/>
          <w:color w:val="1A1A1A"/>
          <w:sz w:val="22"/>
          <w:szCs w:val="22"/>
        </w:rPr>
        <w:t xml:space="preserve">Vendor shall disclose to the Manager in writing any current or prior relationship between Vendor (or any owner, officer, employee, or relative thereof within the third degree of consanguinity or affinity) and any current Director, Officer, Committee Member, or Manager of the Association. Disclosure does not automatically disqualify Vendor; it triggers the procedures of the Association’s Code of Ethics and applicable state law (Tex. Bus. Orgs. Code § 22.230 in Texas; Fla. Stat. §§ 718.3027 / 720.3033 in Florida).</w:t>
      </w:r>
    </w:p>
    <w:p>
      <w:pPr>
        <w:spacing w:after="0" w:before="280"/>
      </w:pPr>
      <w:r>
        <w:rPr>
          <w:rFonts w:ascii="Lato" w:cs="Lato" w:eastAsia="Lato" w:hAnsi="Lato"/>
          <w:b/>
          <w:bCs/>
          <w:color w:val="C9A24A"/>
          <w:spacing w:val="120"/>
          <w:sz w:val="16"/>
          <w:szCs w:val="16"/>
        </w:rPr>
        <w:t xml:space="preserve">ARTICLE 11</w:t>
      </w:r>
    </w:p>
    <w:p>
      <w:pPr>
        <w:spacing w:after="60" w:before="0"/>
      </w:pPr>
      <w:r>
        <w:rPr>
          <w:rFonts w:ascii="Garamond" w:cs="Garamond" w:eastAsia="Garamond" w:hAnsi="Garamond"/>
          <w:b/>
          <w:bCs/>
          <w:color w:val="173F35"/>
          <w:sz w:val="30"/>
          <w:szCs w:val="30"/>
        </w:rPr>
        <w:t xml:space="preserve">Lien Waivers and Mechanic’s Lien Protection</w:t>
      </w:r>
    </w:p>
    <w:p>
      <w:pPr>
        <w:pBdr>
          <w:bottom w:val="single" w:color="C9A24A" w:sz="6" w:space="1"/>
        </w:pBdr>
        <w:spacing w:after="120" w:before="80"/>
      </w:pPr>
      <w:r>
        <w:t xml:space="preserve"/>
      </w:r>
    </w:p>
    <w:p>
      <w:pPr>
        <w:pStyle w:val="ListParagraph"/>
        <w:numPr>
          <w:ilvl w:val="0"/>
          <w:numId w:val="13"/>
        </w:numPr>
        <w:spacing w:after="100" w:before="60" w:line="300"/>
      </w:pPr>
      <w:r>
        <w:rPr>
          <w:rFonts w:ascii="Lato" w:cs="Lato" w:eastAsia="Lato" w:hAnsi="Lato"/>
          <w:color w:val="1A1A1A"/>
          <w:sz w:val="22"/>
          <w:szCs w:val="22"/>
        </w:rPr>
        <w:t xml:space="preserve">On final payment for any work giving rise to lien rights under applicable state law, Vendor shall furnish unconditional final lien waivers (in form acceptable to the Association) from Vendor and from each subcontractor or supplier providing labor or materials in connection with the work. </w:t>
      </w:r>
    </w:p>
    <w:p>
      <w:pPr>
        <w:pStyle w:val="ListParagraph"/>
        <w:numPr>
          <w:ilvl w:val="0"/>
          <w:numId w:val="13"/>
        </w:numPr>
        <w:spacing w:after="100" w:before="60" w:line="300"/>
      </w:pPr>
      <w:r>
        <w:rPr>
          <w:rFonts w:ascii="Lato" w:cs="Lato" w:eastAsia="Lato" w:hAnsi="Lato"/>
          <w:color w:val="1A1A1A"/>
          <w:sz w:val="22"/>
          <w:szCs w:val="22"/>
        </w:rPr>
        <w:t xml:space="preserve">In Texas, the foregoing references the mechanic’s and materialman’s lien framework at Texas Property Code Chapter 53. In Florida, the foregoing references the construction-lien framework at Florida Statutes Chapter 713.</w:t>
      </w:r>
    </w:p>
    <w:p>
      <w:pPr>
        <w:pStyle w:val="ListParagraph"/>
        <w:numPr>
          <w:ilvl w:val="0"/>
          <w:numId w:val="13"/>
        </w:numPr>
        <w:spacing w:after="100" w:before="60" w:line="300"/>
      </w:pPr>
      <w:r>
        <w:rPr>
          <w:rFonts w:ascii="Lato" w:cs="Lato" w:eastAsia="Lato" w:hAnsi="Lato"/>
          <w:color w:val="1A1A1A"/>
          <w:sz w:val="22"/>
          <w:szCs w:val="22"/>
        </w:rPr>
        <w:t xml:space="preserve">Vendor shall promptly bond off or otherwise discharge any lien filed against the Association’s property by Vendor or any subcontractor or supplier of Vendor.</w:t>
      </w:r>
    </w:p>
    <w:p>
      <w:pPr>
        <w:spacing w:after="0" w:before="280"/>
      </w:pPr>
      <w:r>
        <w:rPr>
          <w:rFonts w:ascii="Lato" w:cs="Lato" w:eastAsia="Lato" w:hAnsi="Lato"/>
          <w:b/>
          <w:bCs/>
          <w:color w:val="C9A24A"/>
          <w:spacing w:val="120"/>
          <w:sz w:val="16"/>
          <w:szCs w:val="16"/>
        </w:rPr>
        <w:t xml:space="preserve">ARTICLE 12</w:t>
      </w:r>
    </w:p>
    <w:p>
      <w:pPr>
        <w:spacing w:after="60" w:before="0"/>
      </w:pPr>
      <w:r>
        <w:rPr>
          <w:rFonts w:ascii="Garamond" w:cs="Garamond" w:eastAsia="Garamond" w:hAnsi="Garamond"/>
          <w:b/>
          <w:bCs/>
          <w:color w:val="173F35"/>
          <w:sz w:val="30"/>
          <w:szCs w:val="30"/>
        </w:rPr>
        <w:t xml:space="preserve">Governing Law, Venue, and Notices</w:t>
      </w:r>
    </w:p>
    <w:p>
      <w:pPr>
        <w:pBdr>
          <w:bottom w:val="single" w:color="C9A24A" w:sz="6" w:space="1"/>
        </w:pBdr>
        <w:spacing w:after="120" w:before="80"/>
      </w:pPr>
      <w:r>
        <w:t xml:space="preserve"/>
      </w:r>
    </w:p>
    <w:p>
      <w:pPr>
        <w:pStyle w:val="ListParagraph"/>
        <w:numPr>
          <w:ilvl w:val="0"/>
          <w:numId w:val="14"/>
        </w:numPr>
        <w:spacing w:after="100" w:before="60" w:line="300"/>
      </w:pPr>
      <w:r>
        <w:rPr>
          <w:rFonts w:ascii="Lato" w:cs="Lato" w:eastAsia="Lato" w:hAnsi="Lato"/>
          <w:color w:val="1A1A1A"/>
          <w:sz w:val="22"/>
          <w:szCs w:val="22"/>
        </w:rPr>
        <w:t xml:space="preserve">This Agreement shall be governed by and construed in accordance with the laws of the State of [Texas / Florida] without regard to its conflict-of-laws principles.</w:t>
      </w:r>
    </w:p>
    <w:p>
      <w:pPr>
        <w:pStyle w:val="ListParagraph"/>
        <w:numPr>
          <w:ilvl w:val="0"/>
          <w:numId w:val="14"/>
        </w:numPr>
        <w:spacing w:after="100" w:before="60" w:line="300"/>
      </w:pPr>
      <w:r>
        <w:rPr>
          <w:rFonts w:ascii="Lato" w:cs="Lato" w:eastAsia="Lato" w:hAnsi="Lato"/>
          <w:color w:val="1A1A1A"/>
          <w:sz w:val="22"/>
          <w:szCs w:val="22"/>
        </w:rPr>
        <w:t xml:space="preserve">Exclusive venue for any action arising out of or relating to this Agreement shall lie in the state and federal courts located in [County] County, [Texas / Florida].</w:t>
      </w:r>
    </w:p>
    <w:p>
      <w:pPr>
        <w:pStyle w:val="ListParagraph"/>
        <w:numPr>
          <w:ilvl w:val="0"/>
          <w:numId w:val="14"/>
        </w:numPr>
        <w:spacing w:after="100" w:before="60" w:line="300"/>
      </w:pPr>
      <w:r>
        <w:rPr>
          <w:rFonts w:ascii="Lato" w:cs="Lato" w:eastAsia="Lato" w:hAnsi="Lato"/>
          <w:color w:val="1A1A1A"/>
          <w:sz w:val="22"/>
          <w:szCs w:val="22"/>
        </w:rPr>
        <w:t xml:space="preserve">Notices required or permitted by this Agreement shall be in writing and shall be deemed given (a) on personal delivery; (b) one (1) business day after deposit with a nationally recognized overnight courier; or (c) three (3) business days after deposit in the United States mail, certified mail return receipt requested, addressed to the Party at the address stated on the Cover Sheet (or as updated by written notice).</w:t>
      </w:r>
    </w:p>
    <w:p>
      <w:pPr>
        <w:pStyle w:val="ListParagraph"/>
        <w:numPr>
          <w:ilvl w:val="0"/>
          <w:numId w:val="14"/>
        </w:numPr>
        <w:spacing w:after="100" w:before="60" w:line="300"/>
      </w:pPr>
      <w:r>
        <w:rPr>
          <w:rFonts w:ascii="Lato" w:cs="Lato" w:eastAsia="Lato" w:hAnsi="Lato"/>
          <w:color w:val="1A1A1A"/>
          <w:sz w:val="22"/>
          <w:szCs w:val="22"/>
        </w:rPr>
        <w:t xml:space="preserve">Either Party may update its notice address by written notice to the other Party.</w:t>
      </w:r>
    </w:p>
    <w:p>
      <w:pPr>
        <w:spacing w:after="0" w:before="280"/>
      </w:pPr>
      <w:r>
        <w:rPr>
          <w:rFonts w:ascii="Lato" w:cs="Lato" w:eastAsia="Lato" w:hAnsi="Lato"/>
          <w:b/>
          <w:bCs/>
          <w:color w:val="C9A24A"/>
          <w:spacing w:val="120"/>
          <w:sz w:val="16"/>
          <w:szCs w:val="16"/>
        </w:rPr>
        <w:t xml:space="preserve">ARTICLE 13</w:t>
      </w:r>
    </w:p>
    <w:p>
      <w:pPr>
        <w:spacing w:after="60" w:before="0"/>
      </w:pPr>
      <w:r>
        <w:rPr>
          <w:rFonts w:ascii="Garamond" w:cs="Garamond" w:eastAsia="Garamond" w:hAnsi="Garamond"/>
          <w:b/>
          <w:bCs/>
          <w:color w:val="173F35"/>
          <w:sz w:val="30"/>
          <w:szCs w:val="30"/>
        </w:rPr>
        <w:t xml:space="preserve">General Provisions</w:t>
      </w:r>
    </w:p>
    <w:p>
      <w:pPr>
        <w:pBdr>
          <w:bottom w:val="single" w:color="C9A24A" w:sz="6" w:space="1"/>
        </w:pBdr>
        <w:spacing w:after="120" w:before="80"/>
      </w:pPr>
      <w:r>
        <w:t xml:space="preserve"/>
      </w:r>
    </w:p>
    <w:p>
      <w:pPr>
        <w:pStyle w:val="ListParagraph"/>
        <w:numPr>
          <w:ilvl w:val="0"/>
          <w:numId w:val="15"/>
        </w:numPr>
        <w:spacing w:after="100" w:before="60" w:line="300"/>
      </w:pPr>
      <w:r>
        <w:rPr>
          <w:rFonts w:ascii="Lato" w:cs="Lato" w:eastAsia="Lato" w:hAnsi="Lato"/>
          <w:color w:val="1A1A1A"/>
          <w:sz w:val="22"/>
          <w:szCs w:val="22"/>
        </w:rPr>
        <w:t xml:space="preserve">Entire Agreement. This Agreement, together with the RFP, the Vendor’s Proposal (including the Bid Sheet and the Bid Authorization &amp; Affidavit), and any duly executed amendments, constitutes the entire agreement between the Parties with respect to the subject matter and supersedes all prior negotiations, understandings, and agreements.</w:t>
      </w:r>
    </w:p>
    <w:p>
      <w:pPr>
        <w:pStyle w:val="ListParagraph"/>
        <w:numPr>
          <w:ilvl w:val="0"/>
          <w:numId w:val="15"/>
        </w:numPr>
        <w:spacing w:after="100" w:before="60" w:line="300"/>
      </w:pPr>
      <w:r>
        <w:rPr>
          <w:rFonts w:ascii="Lato" w:cs="Lato" w:eastAsia="Lato" w:hAnsi="Lato"/>
          <w:color w:val="1A1A1A"/>
          <w:sz w:val="22"/>
          <w:szCs w:val="22"/>
        </w:rPr>
        <w:t xml:space="preserve">Order of Precedence. In the event of any direct conflict among the documents, the order of precedence is: (1) this Agreement; (2) executed written amendments; (3) the RFP and any addenda; (4) the Vendor’s Proposal.</w:t>
      </w:r>
    </w:p>
    <w:p>
      <w:pPr>
        <w:pStyle w:val="ListParagraph"/>
        <w:numPr>
          <w:ilvl w:val="0"/>
          <w:numId w:val="15"/>
        </w:numPr>
        <w:spacing w:after="100" w:before="60" w:line="300"/>
      </w:pPr>
      <w:r>
        <w:rPr>
          <w:rFonts w:ascii="Lato" w:cs="Lato" w:eastAsia="Lato" w:hAnsi="Lato"/>
          <w:color w:val="1A1A1A"/>
          <w:sz w:val="22"/>
          <w:szCs w:val="22"/>
        </w:rPr>
        <w:t xml:space="preserve">Amendments. This Agreement may be amended only by a written instrument signed by both Parties.</w:t>
      </w:r>
    </w:p>
    <w:p>
      <w:pPr>
        <w:pStyle w:val="ListParagraph"/>
        <w:numPr>
          <w:ilvl w:val="0"/>
          <w:numId w:val="15"/>
        </w:numPr>
        <w:spacing w:after="100" w:before="60" w:line="300"/>
      </w:pPr>
      <w:r>
        <w:rPr>
          <w:rFonts w:ascii="Lato" w:cs="Lato" w:eastAsia="Lato" w:hAnsi="Lato"/>
          <w:color w:val="1A1A1A"/>
          <w:sz w:val="22"/>
          <w:szCs w:val="22"/>
        </w:rPr>
        <w:t xml:space="preserve">Assignment. Neither Party may assign this Agreement, in whole or in part, without the prior written consent of the other Party, except that the Association may assign to a successor association by operation of law without consent.</w:t>
      </w:r>
    </w:p>
    <w:p>
      <w:pPr>
        <w:pStyle w:val="ListParagraph"/>
        <w:numPr>
          <w:ilvl w:val="0"/>
          <w:numId w:val="15"/>
        </w:numPr>
        <w:spacing w:after="100" w:before="60" w:line="300"/>
      </w:pPr>
      <w:r>
        <w:rPr>
          <w:rFonts w:ascii="Lato" w:cs="Lato" w:eastAsia="Lato" w:hAnsi="Lato"/>
          <w:color w:val="1A1A1A"/>
          <w:sz w:val="22"/>
          <w:szCs w:val="22"/>
        </w:rPr>
        <w:t xml:space="preserve">Severability. If any provision of this Agreement is held unenforceable, the remaining provisions shall remain in full force and effect.</w:t>
      </w:r>
    </w:p>
    <w:p>
      <w:pPr>
        <w:pStyle w:val="ListParagraph"/>
        <w:numPr>
          <w:ilvl w:val="0"/>
          <w:numId w:val="15"/>
        </w:numPr>
        <w:spacing w:after="100" w:before="60" w:line="300"/>
      </w:pPr>
      <w:r>
        <w:rPr>
          <w:rFonts w:ascii="Lato" w:cs="Lato" w:eastAsia="Lato" w:hAnsi="Lato"/>
          <w:color w:val="1A1A1A"/>
          <w:sz w:val="22"/>
          <w:szCs w:val="22"/>
        </w:rPr>
        <w:t xml:space="preserve">Counterparts. This Agreement may be executed in counterparts, each of which is an original, and which together constitute one instrument. Electronic signatures and signatures delivered by PDF or DocuSign are effective.</w:t>
      </w:r>
    </w:p>
    <w:p>
      <w:pPr>
        <w:pStyle w:val="ListParagraph"/>
        <w:numPr>
          <w:ilvl w:val="0"/>
          <w:numId w:val="15"/>
        </w:numPr>
        <w:spacing w:after="100" w:before="60" w:line="300"/>
      </w:pPr>
      <w:r>
        <w:rPr>
          <w:rFonts w:ascii="Lato" w:cs="Lato" w:eastAsia="Lato" w:hAnsi="Lato"/>
          <w:color w:val="1A1A1A"/>
          <w:sz w:val="22"/>
          <w:szCs w:val="22"/>
        </w:rPr>
        <w:t xml:space="preserve">Headings. Headings are for convenience only and shall not affect interpretation.</w:t>
      </w:r>
    </w:p>
    <w:p>
      <w:pPr>
        <w:pStyle w:val="ListParagraph"/>
        <w:numPr>
          <w:ilvl w:val="0"/>
          <w:numId w:val="15"/>
        </w:numPr>
        <w:spacing w:after="100" w:before="60" w:line="300"/>
      </w:pPr>
      <w:r>
        <w:rPr>
          <w:rFonts w:ascii="Lato" w:cs="Lato" w:eastAsia="Lato" w:hAnsi="Lato"/>
          <w:color w:val="1A1A1A"/>
          <w:sz w:val="22"/>
          <w:szCs w:val="22"/>
        </w:rPr>
        <w:t xml:space="preserve">Force Majeure. Neither Party is liable for any failure or delay caused by an event reasonably beyond its control, including acts of God, war, terrorism, civil disorder, government action, epidemic or pandemic public-health emergency, fire, flood, hurricane, or other natural disaster. The affected Party shall give prompt written notice and shall use reasonable efforts to resume performance.</w:t>
      </w:r>
    </w:p>
    <w:p>
      <w:r>
        <w:br w:type="page"/>
      </w:r>
    </w:p>
    <w:p>
      <w:pPr>
        <w:spacing w:after="60" w:before="0"/>
      </w:pPr>
      <w:r>
        <w:rPr>
          <w:rFonts w:ascii="Lato" w:cs="Lato" w:eastAsia="Lato" w:hAnsi="Lato"/>
          <w:b/>
          <w:bCs/>
          <w:color w:val="C9A24A"/>
          <w:spacing w:val="100"/>
          <w:sz w:val="16"/>
          <w:szCs w:val="16"/>
        </w:rPr>
        <w:t xml:space="preserve">SECTION 14</w:t>
      </w:r>
    </w:p>
    <w:p>
      <w:pPr>
        <w:pStyle w:val="Heading1"/>
        <w:spacing w:after="160" w:before="280"/>
      </w:pPr>
      <w:r>
        <w:rPr>
          <w:rFonts w:ascii="Garamond" w:cs="Garamond" w:eastAsia="Garamond" w:hAnsi="Garamond"/>
          <w:b/>
          <w:bCs/>
          <w:color w:val="173F35"/>
          <w:sz w:val="40"/>
          <w:szCs w:val="40"/>
        </w:rPr>
        <w:t xml:space="preserve">Signatures</w:t>
      </w:r>
    </w:p>
    <w:p>
      <w:pPr>
        <w:pBdr>
          <w:bottom w:val="single" w:color="C9A24A" w:sz="8" w:space="1"/>
        </w:pBdr>
        <w:spacing w:after="120" w:before="80"/>
      </w:pPr>
      <w:r>
        <w:t xml:space="preserve"/>
      </w:r>
    </w:p>
    <w:p>
      <w:pPr>
        <w:spacing w:after="240" w:before="0" w:line="320"/>
        <w:jc w:val="left"/>
      </w:pPr>
      <w:r>
        <w:rPr>
          <w:rFonts w:ascii="Lato" w:cs="Lato" w:eastAsia="Lato" w:hAnsi="Lato"/>
          <w:color w:val="1A1A1A"/>
          <w:sz w:val="22"/>
          <w:szCs w:val="22"/>
        </w:rPr>
        <w:t xml:space="preserve">IN WITNESS WHEREOF, the Parties have caused this Agreement to be executed by their duly authorized representatives as of the Effective Date stated on the Cover 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73F35" w:sz="8"/>
              <w:left w:val="single" w:color="173F35" w:sz="24"/>
              <w:bottom w:val="single" w:color="173F35" w:sz="8"/>
              <w:right w:val="single" w:color="173F35" w:sz="4"/>
            </w:tcBorders>
            <w:shd w:fill="DDE7E2" w:color="auto" w:val="clear"/>
            <w:tcMar>
              <w:top w:type="dxa" w:w="240"/>
              <w:left w:type="dxa" w:w="240"/>
              <w:bottom w:type="dxa" w:w="240"/>
              <w:right w:type="dxa" w:w="240"/>
            </w:tcMar>
          </w:tcPr>
          <w:p>
            <w:pPr>
              <w:spacing w:after="120"/>
            </w:pPr>
            <w:r>
              <w:rPr>
                <w:rFonts w:ascii="Lato" w:cs="Lato" w:eastAsia="Lato" w:hAnsi="Lato"/>
                <w:b/>
                <w:bCs/>
                <w:color w:val="173F35"/>
                <w:spacing w:val="100"/>
                <w:sz w:val="16"/>
                <w:szCs w:val="16"/>
              </w:rPr>
              <w:t xml:space="preserve">ASSOCIATION</w:t>
            </w:r>
          </w:p>
          <w:p>
            <w:pPr>
              <w:spacing w:after="200" w:before="0" w:line="300"/>
              <w:jc w:val="left"/>
            </w:pPr>
            <w:r>
              <w:rPr>
                <w:rFonts w:ascii="Lato" w:cs="Lato" w:eastAsia="Lato" w:hAnsi="Lato"/>
                <w:b/>
                <w:bCs/>
                <w:color w:val="1A1A1A"/>
                <w:sz w:val="22"/>
                <w:szCs w:val="22"/>
              </w:rPr>
              <w:t xml:space="preserve">[Association Name]</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 (Board President)</w:t>
            </w:r>
          </w:p>
          <w:p>
            <w:pPr>
              <w:spacing w:after="0" w:before="0" w:line="300"/>
              <w:jc w:val="left"/>
            </w:pPr>
            <w:r>
              <w:rPr>
                <w:rFonts w:ascii="Lato" w:cs="Lato" w:eastAsia="Lato" w:hAnsi="Lato"/>
                <w:color w:val="5C5C5C"/>
                <w:sz w:val="18"/>
                <w:szCs w:val="18"/>
              </w:rPr>
              <w:t xml:space="preserve">Date: ____________________________________</w:t>
            </w:r>
          </w:p>
        </w:tc>
        <w:tc>
          <w:tcPr>
            <w:tcW w:type="dxa" w:w="4680"/>
            <w:tcBorders>
              <w:top w:val="single" w:color="C9A24A" w:sz="8"/>
              <w:left w:val="single" w:color="C9A24A" w:sz="24"/>
              <w:bottom w:val="single" w:color="C9A24A" w:sz="8"/>
              <w:right w:val="single" w:color="C9A24A" w:sz="4"/>
            </w:tcBorders>
            <w:shd w:fill="EAE2C7" w:color="auto" w:val="clear"/>
            <w:tcMar>
              <w:top w:type="dxa" w:w="240"/>
              <w:left w:type="dxa" w:w="240"/>
              <w:bottom w:type="dxa" w:w="240"/>
              <w:right w:type="dxa" w:w="240"/>
            </w:tcMar>
          </w:tcPr>
          <w:p>
            <w:pPr>
              <w:spacing w:after="120"/>
            </w:pPr>
            <w:r>
              <w:rPr>
                <w:rFonts w:ascii="Lato" w:cs="Lato" w:eastAsia="Lato" w:hAnsi="Lato"/>
                <w:b/>
                <w:bCs/>
                <w:color w:val="173F35"/>
                <w:spacing w:val="100"/>
                <w:sz w:val="16"/>
                <w:szCs w:val="16"/>
              </w:rPr>
              <w:t xml:space="preserve">VENDOR</w:t>
            </w:r>
          </w:p>
          <w:p>
            <w:pPr>
              <w:spacing w:after="200" w:before="0" w:line="300"/>
              <w:jc w:val="left"/>
            </w:pPr>
            <w:r>
              <w:rPr>
                <w:rFonts w:ascii="Lato" w:cs="Lato" w:eastAsia="Lato" w:hAnsi="Lato"/>
                <w:b/>
                <w:bCs/>
                <w:color w:val="1A1A1A"/>
                <w:sz w:val="22"/>
                <w:szCs w:val="22"/>
              </w:rPr>
              <w:t xml:space="preserve">[Vendor Legal Name]</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p>
            <w:pPr>
              <w:spacing w:after="0" w:before="0" w:line="300"/>
              <w:jc w:val="left"/>
            </w:pPr>
            <w:r>
              <w:rPr>
                <w:rFonts w:ascii="Lato" w:cs="Lato" w:eastAsia="Lato" w:hAnsi="Lato"/>
                <w:color w:val="5C5C5C"/>
                <w:sz w:val="18"/>
                <w:szCs w:val="18"/>
              </w:rPr>
              <w:t xml:space="preserve">Date: ____________________________________</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Exhibits</w:t>
      </w:r>
    </w:p>
    <w:p>
      <w:pPr>
        <w:pStyle w:val="ListParagraph"/>
        <w:numPr>
          <w:ilvl w:val="0"/>
          <w:numId w:val="2"/>
        </w:numPr>
        <w:spacing w:after="60" w:before="40" w:line="290"/>
      </w:pPr>
      <w:r>
        <w:rPr>
          <w:rFonts w:ascii="Lato" w:cs="Lato" w:eastAsia="Lato" w:hAnsi="Lato"/>
          <w:color w:val="1A1A1A"/>
          <w:sz w:val="22"/>
          <w:szCs w:val="22"/>
        </w:rPr>
        <w:t xml:space="preserve">Exhibit A — Statement of Work (Section 3 of the RFP)</w:t>
      </w:r>
    </w:p>
    <w:p>
      <w:pPr>
        <w:pStyle w:val="ListParagraph"/>
        <w:numPr>
          <w:ilvl w:val="0"/>
          <w:numId w:val="2"/>
        </w:numPr>
        <w:spacing w:after="60" w:before="40" w:line="290"/>
      </w:pPr>
      <w:r>
        <w:rPr>
          <w:rFonts w:ascii="Lato" w:cs="Lato" w:eastAsia="Lato" w:hAnsi="Lato"/>
          <w:color w:val="1A1A1A"/>
          <w:sz w:val="22"/>
          <w:szCs w:val="22"/>
        </w:rPr>
        <w:t xml:space="preserve">Exhibit B — Vendor’s Bid Sheet (Section 11 of the RFP)</w:t>
      </w:r>
    </w:p>
    <w:p>
      <w:pPr>
        <w:pStyle w:val="ListParagraph"/>
        <w:numPr>
          <w:ilvl w:val="0"/>
          <w:numId w:val="2"/>
        </w:numPr>
        <w:spacing w:after="60" w:before="40" w:line="290"/>
      </w:pPr>
      <w:r>
        <w:rPr>
          <w:rFonts w:ascii="Lato" w:cs="Lato" w:eastAsia="Lato" w:hAnsi="Lato"/>
          <w:color w:val="1A1A1A"/>
          <w:sz w:val="22"/>
          <w:szCs w:val="22"/>
        </w:rPr>
        <w:t xml:space="preserve">Exhibit C — Vendor’s Bid Authorization &amp; Affidavit (Section 12 of the RFP)</w:t>
      </w:r>
    </w:p>
    <w:p>
      <w:pPr>
        <w:pStyle w:val="ListParagraph"/>
        <w:numPr>
          <w:ilvl w:val="0"/>
          <w:numId w:val="2"/>
        </w:numPr>
        <w:spacing w:after="60" w:before="40" w:line="290"/>
      </w:pPr>
      <w:r>
        <w:rPr>
          <w:rFonts w:ascii="Lato" w:cs="Lato" w:eastAsia="Lato" w:hAnsi="Lato"/>
          <w:color w:val="1A1A1A"/>
          <w:sz w:val="22"/>
          <w:szCs w:val="22"/>
        </w:rPr>
        <w:t xml:space="preserve">Exhibit D — Vendor’s Certificate of Insurance (as required by Article 7)</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NOTARIZATION</w:t>
            </w:r>
          </w:p>
          <w:p>
            <w:pPr>
              <w:spacing w:after="0" w:before="0" w:line="300"/>
              <w:jc w:val="left"/>
            </w:pPr>
            <w:r>
              <w:rPr>
                <w:rFonts w:ascii="Lato" w:cs="Lato" w:eastAsia="Lato" w:hAnsi="Lato"/>
                <w:color w:val="1A1A1A"/>
                <w:sz w:val="22"/>
                <w:szCs w:val="22"/>
              </w:rPr>
              <w:t xml:space="preserve">Notarization is not legally required for this Agreement under Texas or Florida law, but some associations elect to notarize signatures as a matter of practice. If notarized, attach the appropriate acknowledgment block for the state of execution.</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Vendor Services Agreement  •  Adoption-Ready Template  •  Tier 1/2</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Vendor Services Agreement — Tier 1/2</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4"/>
    <w:lvlOverride w:ilvl="0">
      <w:startOverride w:val="1"/>
    </w:lvlOverride>
  </w:num>
  <w:num w:numId="3">
    <w:abstractNumId w:val="5"/>
    <w:lvlOverride w:ilvl="0">
      <w:startOverride w:val="1"/>
    </w:lvlOverride>
  </w:num>
  <w:num w:numId="4">
    <w:abstractNumId w:val="6"/>
    <w:lvlOverride w:ilvl="0">
      <w:startOverride w:val="1"/>
    </w:lvlOverride>
  </w:num>
  <w:num w:numId="5">
    <w:abstractNumId w:val="7"/>
    <w:lvlOverride w:ilvl="0">
      <w:startOverride w:val="1"/>
    </w:lvlOverride>
  </w:num>
  <w:num w:numId="6">
    <w:abstractNumId w:val="8"/>
    <w:lvlOverride w:ilvl="0">
      <w:startOverride w:val="1"/>
    </w:lvlOverride>
  </w:num>
  <w:num w:numId="7">
    <w:abstractNumId w:val="9"/>
    <w:lvlOverride w:ilvl="0">
      <w:startOverride w:val="1"/>
    </w:lvlOverride>
  </w:num>
  <w:num w:numId="8">
    <w:abstractNumId w:val="10"/>
    <w:lvlOverride w:ilvl="0">
      <w:startOverride w:val="1"/>
    </w:lvlOverride>
  </w:num>
  <w:num w:numId="9">
    <w:abstractNumId w:val="11"/>
    <w:lvlOverride w:ilvl="0">
      <w:startOverride w:val="1"/>
    </w:lvlOverride>
  </w:num>
  <w:num w:numId="10">
    <w:abstractNumId w:val="12"/>
    <w:lvlOverride w:ilvl="0">
      <w:startOverride w:val="1"/>
    </w:lvlOverride>
  </w:num>
  <w:num w:numId="11">
    <w:abstractNumId w:val="13"/>
    <w:lvlOverride w:ilvl="0">
      <w:startOverride w:val="1"/>
    </w:lvlOverride>
  </w:num>
  <w:num w:numId="12">
    <w:abstractNumId w:val="14"/>
    <w:lvlOverride w:ilvl="0">
      <w:startOverride w:val="1"/>
    </w:lvlOverride>
  </w:num>
  <w:num w:numId="13">
    <w:abstractNumId w:val="15"/>
    <w:lvlOverride w:ilvl="0">
      <w:startOverride w:val="1"/>
    </w:lvlOverride>
  </w:num>
  <w:num w:numId="14">
    <w:abstractNumId w:val="16"/>
    <w:lvlOverride w:ilvl="0">
      <w:startOverride w:val="1"/>
    </w:lvlOverride>
  </w:num>
  <w:num w:numId="15">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Services Agreement — Tier 1/2 Adoption-Ready Template</dc:title>
  <dc:creator>Common Interest Community Standards Council (CIC-SC)</dc:creator>
  <dc:description>CIC-SC Vendor Management Toolkit. Texas &amp; Florida applicable.</dc:description>
  <cp:lastModifiedBy>Un-named</cp:lastModifiedBy>
  <cp:revision>1</cp:revision>
  <dcterms:created xsi:type="dcterms:W3CDTF">2026-05-10T21:47:25.766Z</dcterms:created>
  <dcterms:modified xsi:type="dcterms:W3CDTF">2026-05-10T21:47:25.766Z</dcterms:modified>
</cp:coreProperties>
</file>

<file path=docProps/custom.xml><?xml version="1.0" encoding="utf-8"?>
<Properties xmlns="http://schemas.openxmlformats.org/officeDocument/2006/custom-properties" xmlns:vt="http://schemas.openxmlformats.org/officeDocument/2006/docPropsVTypes"/>
</file>