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Educational Guide  /  Companion to the Vendor Services Agreement (Tier 1/2)</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Signing the</w:t>
      </w:r>
    </w:p>
    <w:p>
      <w:pPr>
        <w:spacing w:after="240" w:before="0"/>
        <w:jc w:val="left"/>
      </w:pPr>
      <w:r>
        <w:rPr>
          <w:rFonts w:ascii="Garamond" w:cs="Garamond" w:eastAsia="Garamond" w:hAnsi="Garamond"/>
          <w:i/>
          <w:iCs/>
          <w:color w:val="173F35"/>
          <w:sz w:val="60"/>
          <w:szCs w:val="60"/>
        </w:rPr>
        <w:t xml:space="preserve">Vendor Contract</w:t>
      </w:r>
    </w:p>
    <w:p>
      <w:pPr>
        <w:spacing w:after="1200" w:before="80"/>
        <w:jc w:val="left"/>
      </w:pPr>
      <w:r>
        <w:rPr>
          <w:rFonts w:ascii="Lato" w:cs="Lato" w:eastAsia="Lato" w:hAnsi="Lato"/>
          <w:color w:val="1A1A1A"/>
          <w:sz w:val="24"/>
          <w:szCs w:val="24"/>
        </w:rPr>
        <w:t xml:space="preserve">How HOA and condominium boards execute the contract after award — what to look for, what to negotiate, what to never sign without counsel review. Written for volunteer directors and managers in Texas and Florida.</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Educational Guide  •  Texas &amp; Florida Applicable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&amp; Condominium Boards  •  Association Managers  •  Self-Managed Associations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Vendor Services Agreement (Tier 1/2)  •  RFP Tier 1/2 Toolkit  •  Comparative Proposal Evaluation Worksheet</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p>
      <w:pPr>
        <w:spacing w:after="60" w:before="0"/>
      </w:pPr>
      <w:r>
        <w:rPr>
          <w:rFonts w:ascii="Lato" w:cs="Lato" w:eastAsia="Lato" w:hAnsi="Lato"/>
          <w:b/>
          <w:bCs/>
          <w:color w:val="C9A24A"/>
          <w:spacing w:val="100"/>
          <w:sz w:val="16"/>
          <w:szCs w:val="16"/>
        </w:rPr>
        <w:t xml:space="preserve">EXECUTIVE SUMMARY</w:t>
      </w:r>
    </w:p>
    <w:p>
      <w:pPr>
        <w:pStyle w:val="Heading1"/>
        <w:spacing w:after="160" w:before="280"/>
      </w:pPr>
      <w:r>
        <w:rPr>
          <w:rFonts w:ascii="Garamond" w:cs="Garamond" w:eastAsia="Garamond" w:hAnsi="Garamond"/>
          <w:b/>
          <w:bCs/>
          <w:color w:val="173F35"/>
          <w:sz w:val="40"/>
          <w:szCs w:val="40"/>
        </w:rPr>
        <w:t xml:space="preserve">In Brief</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The contract is the only document in the RFP cycle the Association can enforce in court. Everything that comes before — the RFP, the proposal, the evaluation, the award memo — is preparation. The signature on the Vendor Services Agreement is what makes the relationship a relationship. This guide explains how to read the contract, what each Article is doing, where the negotiating room is, and where it is not.</w:t>
      </w:r>
    </w:p>
    <w:p>
      <w:pPr>
        <w:spacing w:after="120" w:before="0" w:line="320"/>
        <w:jc w:val="left"/>
      </w:pPr>
      <w:r>
        <w:rPr>
          <w:rFonts w:ascii="Lato" w:cs="Lato" w:eastAsia="Lato" w:hAnsi="Lato"/>
          <w:color w:val="1A1A1A"/>
          <w:sz w:val="22"/>
          <w:szCs w:val="22"/>
        </w:rPr>
        <w:t xml:space="preserve">The CIC-SC Vendor Services Agreement is a careful, neutral, association-favorable default. It is short by contract-document standards (about 13 Articles), structured to be readable in fifteen minutes, and engineered to incorporate the RFP and the winning proposal by reference rather than retyping them. Used together with the RFP Template and the Comparative Proposal Evaluation Worksheet, it produces a single coherent record from solicitation through signature.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IN ONE PARAGRAPH</w:t>
            </w:r>
          </w:p>
          <w:p>
            <w:pPr>
              <w:spacing w:after="0" w:before="0" w:line="300"/>
              <w:jc w:val="left"/>
            </w:pPr>
            <w:r>
              <w:rPr>
                <w:rFonts w:ascii="Lato" w:cs="Lato" w:eastAsia="Lato" w:hAnsi="Lato"/>
                <w:color w:val="1A1A1A"/>
                <w:sz w:val="22"/>
                <w:szCs w:val="22"/>
              </w:rPr>
              <w:t xml:space="preserve">Attach the RFP, the Bid Sheet, and the bidder’s signed affidavit as Exhibits. Confirm insurance and licensing. Confirm pricing matches the Bid Sheet. Confirm indemnity, lien-waiver, and governing-law clauses with counsel. Have the Board President sign at the next regular meeting. Deliver an executed counterpart to the vendor. File the original. That is the practice.</w:t>
            </w:r>
          </w:p>
        </w:tc>
      </w:tr>
    </w:tbl>
    <w:p>
      <w:r>
        <w:br w:type="page"/>
      </w:r>
    </w:p>
    <w:p>
      <w:pPr>
        <w:spacing w:after="60" w:before="0"/>
      </w:pPr>
      <w:r>
        <w:rPr>
          <w:rFonts w:ascii="Lato" w:cs="Lato" w:eastAsia="Lato" w:hAnsi="Lato"/>
          <w:b/>
          <w:bCs/>
          <w:color w:val="C9A24A"/>
          <w:spacing w:val="100"/>
          <w:sz w:val="16"/>
          <w:szCs w:val="16"/>
        </w:rPr>
        <w:t xml:space="preserve">WHY THIS MATTERS</w:t>
      </w:r>
    </w:p>
    <w:p>
      <w:pPr>
        <w:pStyle w:val="Heading1"/>
        <w:spacing w:after="160" w:before="280"/>
      </w:pPr>
      <w:r>
        <w:rPr>
          <w:rFonts w:ascii="Garamond" w:cs="Garamond" w:eastAsia="Garamond" w:hAnsi="Garamond"/>
          <w:b/>
          <w:bCs/>
          <w:color w:val="173F35"/>
          <w:sz w:val="40"/>
          <w:szCs w:val="40"/>
        </w:rPr>
        <w:t xml:space="preserve">Why a Written Contract Beats a Handshake</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Volunteer boards routinely sign vendor contracts that they have not read carefully — either because the vendor’s standard agreement is presented as “our paper” and the Board defers to it, or because there is no agreement at all and the parties operate on a verbal understanding plus the RFP. Both approaches fail in the moments boards care about most: a service quality dispute, a slip-and-fall on association property, a chemical spill, a hurricane response, or an early termination.</w:t>
      </w:r>
    </w:p>
    <w:p>
      <w:pPr>
        <w:spacing w:after="200" w:before="0" w:line="320"/>
        <w:jc w:val="left"/>
      </w:pPr>
      <w:r>
        <w:rPr>
          <w:rFonts w:ascii="Lato" w:cs="Lato" w:eastAsia="Lato" w:hAnsi="Lato"/>
          <w:color w:val="1A1A1A"/>
          <w:sz w:val="22"/>
          <w:szCs w:val="22"/>
        </w:rPr>
        <w:t xml:space="preserve">A written contract on the Association’s paper — and the CIC-SC template is the Association’s paper — captures the Board’s decision in language the Board chose. It defines what counts as a breach, how termination works, who carries the insurance, who indemnifies whom, and how the Parties resolve disputes. Used consistently across the Association’s vendor relationships, it also produces a uniform vendor management posture: every contract reads the same way, every quarterly review uses the same metrics, every transition between Account Managers picks up where the last one left off.</w:t>
      </w:r>
    </w:p>
    <w:p>
      <w:r>
        <w:br w:type="page"/>
      </w:r>
    </w:p>
    <w:p>
      <w:pPr>
        <w:spacing w:after="60" w:before="0"/>
      </w:pPr>
      <w:r>
        <w:rPr>
          <w:rFonts w:ascii="Lato" w:cs="Lato" w:eastAsia="Lato" w:hAnsi="Lato"/>
          <w:b/>
          <w:bCs/>
          <w:color w:val="C9A24A"/>
          <w:spacing w:val="100"/>
          <w:sz w:val="16"/>
          <w:szCs w:val="16"/>
        </w:rPr>
        <w:t xml:space="preserve">ARTICLE-BY-ARTICLE</w:t>
      </w:r>
    </w:p>
    <w:p>
      <w:pPr>
        <w:pStyle w:val="Heading1"/>
        <w:spacing w:after="160" w:before="280"/>
      </w:pPr>
      <w:r>
        <w:rPr>
          <w:rFonts w:ascii="Garamond" w:cs="Garamond" w:eastAsia="Garamond" w:hAnsi="Garamond"/>
          <w:b/>
          <w:bCs/>
          <w:color w:val="173F35"/>
          <w:sz w:val="40"/>
          <w:szCs w:val="40"/>
        </w:rPr>
        <w:t xml:space="preserve">What Each Article Does</w:t>
      </w:r>
    </w:p>
    <w:p>
      <w:pPr>
        <w:pBdr>
          <w:bottom w:val="single" w:color="C9A24A" w:sz="8" w:space="1"/>
        </w:pBdr>
        <w:spacing w:after="120" w:before="80"/>
      </w:pPr>
      <w:r>
        <w:t xml:space="preserve"/>
      </w:r>
    </w:p>
    <w:p>
      <w:pPr>
        <w:pStyle w:val="Heading3"/>
        <w:spacing w:after="160" w:before="280"/>
      </w:pPr>
      <w:r>
        <w:rPr>
          <w:rFonts w:ascii="Garamond" w:cs="Garamond" w:eastAsia="Garamond" w:hAnsi="Garamond"/>
          <w:b/>
          <w:bCs/>
          <w:color w:val="173F35"/>
          <w:sz w:val="26"/>
          <w:szCs w:val="26"/>
        </w:rPr>
        <w:t xml:space="preserve">Article 1 — Definitions</w:t>
      </w:r>
    </w:p>
    <w:p>
      <w:pPr>
        <w:spacing w:after="120" w:before="0" w:line="320"/>
        <w:jc w:val="left"/>
      </w:pPr>
      <w:r>
        <w:rPr>
          <w:rFonts w:ascii="Lato" w:cs="Lato" w:eastAsia="Lato" w:hAnsi="Lato"/>
          <w:color w:val="1A1A1A"/>
          <w:sz w:val="22"/>
          <w:szCs w:val="22"/>
        </w:rPr>
        <w:t xml:space="preserve">Defines key terms used throughout. The most important: the Statement of Work is Section 3 of the RFP, incorporated by reference. The Vendor’s Proposal (including Bid Sheet and Affidavit) is an exhibit. No need to retype scope or pricing.</w:t>
      </w:r>
    </w:p>
    <w:p>
      <w:pPr>
        <w:pStyle w:val="Heading3"/>
        <w:spacing w:after="160" w:before="280"/>
      </w:pPr>
      <w:r>
        <w:rPr>
          <w:rFonts w:ascii="Garamond" w:cs="Garamond" w:eastAsia="Garamond" w:hAnsi="Garamond"/>
          <w:b/>
          <w:bCs/>
          <w:color w:val="173F35"/>
          <w:sz w:val="26"/>
          <w:szCs w:val="26"/>
        </w:rPr>
        <w:t xml:space="preserve">Article 2 — Scope of Services</w:t>
      </w:r>
    </w:p>
    <w:p>
      <w:pPr>
        <w:spacing w:after="120" w:before="0" w:line="320"/>
        <w:jc w:val="left"/>
      </w:pPr>
      <w:r>
        <w:rPr>
          <w:rFonts w:ascii="Lato" w:cs="Lato" w:eastAsia="Lato" w:hAnsi="Lato"/>
          <w:color w:val="1A1A1A"/>
          <w:sz w:val="22"/>
          <w:szCs w:val="22"/>
        </w:rPr>
        <w:t xml:space="preserve">The order-of-precedence clause is critical: this Agreement controls over the RFP and proposal in case of conflict, and the Governing Documents and law control over everything. This protects the Board from a vendor proposal that quietly carved out an obligation.</w:t>
      </w:r>
    </w:p>
    <w:p>
      <w:pPr>
        <w:pStyle w:val="Heading3"/>
        <w:spacing w:after="160" w:before="280"/>
      </w:pPr>
      <w:r>
        <w:rPr>
          <w:rFonts w:ascii="Garamond" w:cs="Garamond" w:eastAsia="Garamond" w:hAnsi="Garamond"/>
          <w:b/>
          <w:bCs/>
          <w:color w:val="173F35"/>
          <w:sz w:val="26"/>
          <w:szCs w:val="26"/>
        </w:rPr>
        <w:t xml:space="preserve">Article 3 — Term and Renewal</w:t>
      </w:r>
    </w:p>
    <w:p>
      <w:pPr>
        <w:spacing w:after="120" w:before="0" w:line="320"/>
        <w:jc w:val="left"/>
      </w:pPr>
      <w:r>
        <w:rPr>
          <w:rFonts w:ascii="Lato" w:cs="Lato" w:eastAsia="Lato" w:hAnsi="Lato"/>
          <w:color w:val="1A1A1A"/>
          <w:sz w:val="22"/>
          <w:szCs w:val="22"/>
        </w:rPr>
        <w:t xml:space="preserve">Renewals are at the Association’s sole discretion. Vendors are required to receive notice 30 days before the end of term if the Board wants to renew. This prevents auto-renewals and forces the rebid conversation back into the Board’s annual calendar.</w:t>
      </w:r>
    </w:p>
    <w:p>
      <w:pPr>
        <w:pStyle w:val="Heading3"/>
        <w:spacing w:after="160" w:before="280"/>
      </w:pPr>
      <w:r>
        <w:rPr>
          <w:rFonts w:ascii="Garamond" w:cs="Garamond" w:eastAsia="Garamond" w:hAnsi="Garamond"/>
          <w:b/>
          <w:bCs/>
          <w:color w:val="173F35"/>
          <w:sz w:val="26"/>
          <w:szCs w:val="26"/>
        </w:rPr>
        <w:t xml:space="preserve">Article 4 — Pricing and Payment</w:t>
      </w:r>
    </w:p>
    <w:p>
      <w:pPr>
        <w:spacing w:after="120" w:before="0" w:line="320"/>
        <w:jc w:val="left"/>
      </w:pPr>
      <w:r>
        <w:rPr>
          <w:rFonts w:ascii="Lato" w:cs="Lato" w:eastAsia="Lato" w:hAnsi="Lato"/>
          <w:color w:val="1A1A1A"/>
          <w:sz w:val="22"/>
          <w:szCs w:val="22"/>
        </w:rPr>
        <w:t xml:space="preserve">Monthly fixed-fee for recurring work. As-needed work requires a written work order approved in advance by the Manager — not by a director, not by an owner. This is the single most important provision in keeping vendor relationships clean.</w:t>
      </w:r>
    </w:p>
    <w:p>
      <w:pPr>
        <w:pStyle w:val="Heading3"/>
        <w:spacing w:after="160" w:before="280"/>
      </w:pPr>
      <w:r>
        <w:rPr>
          <w:rFonts w:ascii="Garamond" w:cs="Garamond" w:eastAsia="Garamond" w:hAnsi="Garamond"/>
          <w:b/>
          <w:bCs/>
          <w:color w:val="173F35"/>
          <w:sz w:val="26"/>
          <w:szCs w:val="26"/>
        </w:rPr>
        <w:t xml:space="preserve">Article 5 — Performance Standards and Reporting</w:t>
      </w:r>
    </w:p>
    <w:p>
      <w:pPr>
        <w:spacing w:after="120" w:before="0" w:line="320"/>
        <w:jc w:val="left"/>
      </w:pPr>
      <w:r>
        <w:rPr>
          <w:rFonts w:ascii="Lato" w:cs="Lato" w:eastAsia="Lato" w:hAnsi="Lato"/>
          <w:color w:val="1A1A1A"/>
          <w:sz w:val="22"/>
          <w:szCs w:val="22"/>
        </w:rPr>
        <w:t xml:space="preserve">Pulls the observable quality standards from the Statement of Work into the contract as enforceable obligations. Persistent failure after notice is grounds for termination. The monthly written report, 48-hour acknowledgment, and quarterly walk-through are the rhythm that keeps quality on track.</w:t>
      </w:r>
    </w:p>
    <w:p>
      <w:pPr>
        <w:pStyle w:val="Heading3"/>
        <w:spacing w:after="160" w:before="280"/>
      </w:pPr>
      <w:r>
        <w:rPr>
          <w:rFonts w:ascii="Garamond" w:cs="Garamond" w:eastAsia="Garamond" w:hAnsi="Garamond"/>
          <w:b/>
          <w:bCs/>
          <w:color w:val="173F35"/>
          <w:sz w:val="26"/>
          <w:szCs w:val="26"/>
        </w:rPr>
        <w:t xml:space="preserve">Article 6 — Personnel, Subcontractors, and Independent Contractor Status</w:t>
      </w:r>
    </w:p>
    <w:p>
      <w:pPr>
        <w:spacing w:after="120" w:before="0" w:line="320"/>
        <w:jc w:val="left"/>
      </w:pPr>
      <w:r>
        <w:rPr>
          <w:rFonts w:ascii="Lato" w:cs="Lato" w:eastAsia="Lato" w:hAnsi="Lato"/>
          <w:color w:val="1A1A1A"/>
          <w:sz w:val="22"/>
          <w:szCs w:val="22"/>
        </w:rPr>
        <w:t xml:space="preserve">Named Account Manager and on-site supervisor. Independent contractor language (not an employee). Subcontracting requires Manager consent. Twelve-month non-solicitation of each other’s personnel. This article often surprises vendors — read it through.</w:t>
      </w:r>
    </w:p>
    <w:p>
      <w:pPr>
        <w:pStyle w:val="Heading3"/>
        <w:spacing w:after="160" w:before="280"/>
      </w:pPr>
      <w:r>
        <w:rPr>
          <w:rFonts w:ascii="Garamond" w:cs="Garamond" w:eastAsia="Garamond" w:hAnsi="Garamond"/>
          <w:b/>
          <w:bCs/>
          <w:color w:val="173F35"/>
          <w:sz w:val="26"/>
          <w:szCs w:val="26"/>
        </w:rPr>
        <w:t xml:space="preserve">Article 7 — Insurance</w:t>
      </w:r>
    </w:p>
    <w:p>
      <w:pPr>
        <w:spacing w:after="120" w:before="0" w:line="320"/>
        <w:jc w:val="left"/>
      </w:pPr>
      <w:r>
        <w:rPr>
          <w:rFonts w:ascii="Lato" w:cs="Lato" w:eastAsia="Lato" w:hAnsi="Lato"/>
          <w:color w:val="1A1A1A"/>
          <w:sz w:val="22"/>
          <w:szCs w:val="22"/>
        </w:rPr>
        <w:t xml:space="preserve">Pulls Section 9 of the RFP into the contract. Additional insured on primary, non-contributory basis. Certificate before commencement and at renewal. Thirty-day cancellation notice. The insurance broker should review this article before signature against the master association policy.</w:t>
      </w:r>
    </w:p>
    <w:p>
      <w:pPr>
        <w:pStyle w:val="Heading3"/>
        <w:spacing w:after="160" w:before="280"/>
      </w:pPr>
      <w:r>
        <w:rPr>
          <w:rFonts w:ascii="Garamond" w:cs="Garamond" w:eastAsia="Garamond" w:hAnsi="Garamond"/>
          <w:b/>
          <w:bCs/>
          <w:color w:val="173F35"/>
          <w:sz w:val="26"/>
          <w:szCs w:val="26"/>
        </w:rPr>
        <w:t xml:space="preserve">Article 8 — Indemnification</w:t>
      </w:r>
    </w:p>
    <w:p>
      <w:pPr>
        <w:spacing w:after="120" w:before="0" w:line="320"/>
        <w:jc w:val="left"/>
      </w:pPr>
      <w:r>
        <w:rPr>
          <w:rFonts w:ascii="Lato" w:cs="Lato" w:eastAsia="Lato" w:hAnsi="Lato"/>
          <w:color w:val="1A1A1A"/>
          <w:sz w:val="22"/>
          <w:szCs w:val="22"/>
        </w:rPr>
        <w:t xml:space="preserve">Mutual-favored indemnity is sometimes proposed by vendors. The CIC-SC default is a one-way indemnity in the Association’s favor, consistent with the risk that the vendor controls (its own people, equipment, and methods). Counsel should confirm the language is enforceable in your state — Texas has narrower indemnity rules under the Texas Anti-Indemnity Act for certain construction contracts; this provision is drafted to avoid that issue but counsel review remains the prudent step.</w:t>
      </w:r>
    </w:p>
    <w:p>
      <w:pPr>
        <w:pStyle w:val="Heading3"/>
        <w:spacing w:after="160" w:before="280"/>
      </w:pPr>
      <w:r>
        <w:rPr>
          <w:rFonts w:ascii="Garamond" w:cs="Garamond" w:eastAsia="Garamond" w:hAnsi="Garamond"/>
          <w:b/>
          <w:bCs/>
          <w:color w:val="173F35"/>
          <w:sz w:val="26"/>
          <w:szCs w:val="26"/>
        </w:rPr>
        <w:t xml:space="preserve">Article 9 — Default, Cure, and Termination</w:t>
      </w:r>
    </w:p>
    <w:p>
      <w:pPr>
        <w:spacing w:after="120" w:before="0" w:line="320"/>
        <w:jc w:val="left"/>
      </w:pPr>
      <w:r>
        <w:rPr>
          <w:rFonts w:ascii="Lato" w:cs="Lato" w:eastAsia="Lato" w:hAnsi="Lato"/>
          <w:color w:val="1A1A1A"/>
          <w:sz w:val="22"/>
          <w:szCs w:val="22"/>
        </w:rPr>
        <w:t xml:space="preserve">Ten-day cure period for the breaching party. Termination for cause is immediate after the cure expires. Termination for convenience is 30 days’ notice from the Association without penalty (60 days from the vendor). On termination, vendor is paid pro rata for completed work — no termination fee, no liquidated damages, no recovery of lost profits.</w:t>
      </w:r>
    </w:p>
    <w:p>
      <w:pPr>
        <w:pStyle w:val="Heading3"/>
        <w:spacing w:after="160" w:before="280"/>
      </w:pPr>
      <w:r>
        <w:rPr>
          <w:rFonts w:ascii="Garamond" w:cs="Garamond" w:eastAsia="Garamond" w:hAnsi="Garamond"/>
          <w:b/>
          <w:bCs/>
          <w:color w:val="173F35"/>
          <w:sz w:val="26"/>
          <w:szCs w:val="26"/>
        </w:rPr>
        <w:t xml:space="preserve">Article 10 — Confidentiality and Conflicts of Interest</w:t>
      </w:r>
    </w:p>
    <w:p>
      <w:pPr>
        <w:spacing w:after="120" w:before="0" w:line="320"/>
        <w:jc w:val="left"/>
      </w:pPr>
      <w:r>
        <w:rPr>
          <w:rFonts w:ascii="Lato" w:cs="Lato" w:eastAsia="Lato" w:hAnsi="Lato"/>
          <w:color w:val="1A1A1A"/>
          <w:sz w:val="22"/>
          <w:szCs w:val="22"/>
        </w:rPr>
        <w:t xml:space="preserve">Confidentiality of non-public information about owners, residents, finances. Conflict-of-interest disclosure to the Manager in writing. Pulls in the Code of Ethics and state law (Tex. Bus. Orgs. § 22.230 in Texas; Fla. Stat. §§ 718.3027 / 720.3033 in Florida).</w:t>
      </w:r>
    </w:p>
    <w:p>
      <w:pPr>
        <w:pStyle w:val="Heading3"/>
        <w:spacing w:after="160" w:before="280"/>
      </w:pPr>
      <w:r>
        <w:rPr>
          <w:rFonts w:ascii="Garamond" w:cs="Garamond" w:eastAsia="Garamond" w:hAnsi="Garamond"/>
          <w:b/>
          <w:bCs/>
          <w:color w:val="173F35"/>
          <w:sz w:val="26"/>
          <w:szCs w:val="26"/>
        </w:rPr>
        <w:t xml:space="preserve">Article 11 — Lien Waivers and Mechanic’s Lien Protection</w:t>
      </w:r>
    </w:p>
    <w:p>
      <w:pPr>
        <w:spacing w:after="120" w:before="0" w:line="320"/>
        <w:jc w:val="left"/>
      </w:pPr>
      <w:r>
        <w:rPr>
          <w:rFonts w:ascii="Lato" w:cs="Lato" w:eastAsia="Lato" w:hAnsi="Lato"/>
          <w:color w:val="1A1A1A"/>
          <w:sz w:val="22"/>
          <w:szCs w:val="22"/>
        </w:rPr>
        <w:t xml:space="preserve">Final unconditional lien waivers on final payment for any lien-eligible work. References Tex. Prop. Code Ch. 53 (Texas) and Fla. Stat. Ch. 713 (Florida) construction-lien frameworks. Vendor obligation to bond off or discharge any filed lien promptly. Critical for landscape (capital plantings), pool resurfacing, and any other scope that can give rise to mechanic’s liens.</w:t>
      </w:r>
    </w:p>
    <w:p>
      <w:pPr>
        <w:pStyle w:val="Heading3"/>
        <w:spacing w:after="160" w:before="280"/>
      </w:pPr>
      <w:r>
        <w:rPr>
          <w:rFonts w:ascii="Garamond" w:cs="Garamond" w:eastAsia="Garamond" w:hAnsi="Garamond"/>
          <w:b/>
          <w:bCs/>
          <w:color w:val="173F35"/>
          <w:sz w:val="26"/>
          <w:szCs w:val="26"/>
        </w:rPr>
        <w:t xml:space="preserve">Article 12 — Governing Law, Venue, and Notices</w:t>
      </w:r>
    </w:p>
    <w:p>
      <w:pPr>
        <w:spacing w:after="120" w:before="0" w:line="320"/>
        <w:jc w:val="left"/>
      </w:pPr>
      <w:r>
        <w:rPr>
          <w:rFonts w:ascii="Lato" w:cs="Lato" w:eastAsia="Lato" w:hAnsi="Lato"/>
          <w:color w:val="1A1A1A"/>
          <w:sz w:val="22"/>
          <w:szCs w:val="22"/>
        </w:rPr>
        <w:t xml:space="preserve">State law and county venue. Notice address and delivery methods. Update notice address by written notice to the other party. These provisions look routine but matter on the day a dispute starts.</w:t>
      </w:r>
    </w:p>
    <w:p>
      <w:pPr>
        <w:pStyle w:val="Heading3"/>
        <w:spacing w:after="160" w:before="280"/>
      </w:pPr>
      <w:r>
        <w:rPr>
          <w:rFonts w:ascii="Garamond" w:cs="Garamond" w:eastAsia="Garamond" w:hAnsi="Garamond"/>
          <w:b/>
          <w:bCs/>
          <w:color w:val="173F35"/>
          <w:sz w:val="26"/>
          <w:szCs w:val="26"/>
        </w:rPr>
        <w:t xml:space="preserve">Article 13 — General Provisions</w:t>
      </w:r>
    </w:p>
    <w:p>
      <w:pPr>
        <w:spacing w:after="200" w:before="0" w:line="320"/>
        <w:jc w:val="left"/>
      </w:pPr>
      <w:r>
        <w:rPr>
          <w:rFonts w:ascii="Lato" w:cs="Lato" w:eastAsia="Lato" w:hAnsi="Lato"/>
          <w:color w:val="1A1A1A"/>
          <w:sz w:val="22"/>
          <w:szCs w:val="22"/>
        </w:rPr>
        <w:t xml:space="preserve">Entire agreement (no oral side-deals); order-of-precedence among documents; written-amendment requirement; assignment limits; severability; counterparts and electronic signature; headings; force majeure.</w:t>
      </w:r>
    </w:p>
    <w:p>
      <w:r>
        <w:br w:type="page"/>
      </w:r>
    </w:p>
    <w:p>
      <w:pPr>
        <w:spacing w:after="60" w:before="0"/>
      </w:pPr>
      <w:r>
        <w:rPr>
          <w:rFonts w:ascii="Lato" w:cs="Lato" w:eastAsia="Lato" w:hAnsi="Lato"/>
          <w:b/>
          <w:bCs/>
          <w:color w:val="C9A24A"/>
          <w:spacing w:val="100"/>
          <w:sz w:val="16"/>
          <w:szCs w:val="16"/>
        </w:rPr>
        <w:t xml:space="preserve">COMMON CONTRACT MISTAKES</w:t>
      </w:r>
    </w:p>
    <w:p>
      <w:pPr>
        <w:pStyle w:val="Heading1"/>
        <w:spacing w:after="160" w:before="280"/>
      </w:pPr>
      <w:r>
        <w:rPr>
          <w:rFonts w:ascii="Garamond" w:cs="Garamond" w:eastAsia="Garamond" w:hAnsi="Garamond"/>
          <w:b/>
          <w:bCs/>
          <w:color w:val="173F35"/>
          <w:sz w:val="40"/>
          <w:szCs w:val="40"/>
        </w:rPr>
        <w:t xml:space="preserve">Pitfalls to Avoid</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1 — SIGNING THE VENDOR’S PAPER</w:t>
            </w:r>
          </w:p>
          <w:p>
            <w:pPr>
              <w:spacing w:after="0" w:before="0" w:line="300"/>
              <w:jc w:val="left"/>
            </w:pPr>
            <w:r>
              <w:rPr>
                <w:rFonts w:ascii="Lato" w:cs="Lato" w:eastAsia="Lato" w:hAnsi="Lato"/>
                <w:color w:val="1A1A1A"/>
                <w:sz w:val="22"/>
                <w:szCs w:val="22"/>
              </w:rPr>
              <w:t xml:space="preserve">Vendors hand the Board a 12-page boilerplate agreement that quietly removes the Association’s most important protections. The CIC-SC template is the Association’s paper. Insist on signing your paper — vendors who object are signaling something.</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2 — AUTO-RENEWALS</w:t>
            </w:r>
          </w:p>
          <w:p>
            <w:pPr>
              <w:spacing w:after="0" w:before="0" w:line="300"/>
              <w:jc w:val="left"/>
            </w:pPr>
            <w:r>
              <w:rPr>
                <w:rFonts w:ascii="Lato" w:cs="Lato" w:eastAsia="Lato" w:hAnsi="Lato"/>
                <w:color w:val="1A1A1A"/>
                <w:sz w:val="22"/>
                <w:szCs w:val="22"/>
              </w:rPr>
              <w:t xml:space="preserve">Three-year auto-renewals are convenient for vendors. The CIC-SC default has the Association renewing at its sole discretion with 30 days’ notice; vendors must not assume renewal. This forces the rebid conversation back into the Annual Operations Calendar.</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3 — IMPLICIT “TIME AND MATERIALS” WORK</w:t>
            </w:r>
          </w:p>
          <w:p>
            <w:pPr>
              <w:spacing w:after="0" w:before="0" w:line="300"/>
              <w:jc w:val="left"/>
            </w:pPr>
            <w:r>
              <w:rPr>
                <w:rFonts w:ascii="Lato" w:cs="Lato" w:eastAsia="Lato" w:hAnsi="Lato"/>
                <w:color w:val="1A1A1A"/>
                <w:sz w:val="22"/>
                <w:szCs w:val="22"/>
              </w:rPr>
              <w:t xml:space="preserve">Without a written work order requirement, as-needed work expands silently. The CIC-SC Article 4 requires written work orders approved by the Manager in advance — for every piece of as-needed work, every time.</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4 — INDEMNITY IN VENDOR’S FAVOR</w:t>
            </w:r>
          </w:p>
          <w:p>
            <w:pPr>
              <w:spacing w:after="0" w:before="0" w:line="300"/>
              <w:jc w:val="left"/>
            </w:pPr>
            <w:r>
              <w:rPr>
                <w:rFonts w:ascii="Lato" w:cs="Lato" w:eastAsia="Lato" w:hAnsi="Lato"/>
                <w:color w:val="1A1A1A"/>
                <w:sz w:val="22"/>
                <w:szCs w:val="22"/>
              </w:rPr>
              <w:t xml:space="preserve">Some vendor agreements include mutual or vendor-favored indemnity provisions, sometimes hidden in boilerplate. The Association controls property and rules; the vendor controls its own people and methods. Indemnity should follow control — and it should be in the Association’s favor.</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5 — TERMINATION FEE OR LIQUIDATED DAMAGES</w:t>
            </w:r>
          </w:p>
          <w:p>
            <w:pPr>
              <w:spacing w:after="0" w:before="0" w:line="300"/>
              <w:jc w:val="left"/>
            </w:pPr>
            <w:r>
              <w:rPr>
                <w:rFonts w:ascii="Lato" w:cs="Lato" w:eastAsia="Lato" w:hAnsi="Lato"/>
                <w:color w:val="1A1A1A"/>
                <w:sz w:val="22"/>
                <w:szCs w:val="22"/>
              </w:rPr>
              <w:t xml:space="preserve">Vendors sometimes propose a termination fee or “early termination liquidated damages.” The CIC-SC default has no termination fee or LD — Association can terminate for convenience on 30 days’ notice without penalty. Resist any termination penalty stronger than pro rata pay for completed work.</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6 — MISSING LIEN-WAIVER MECHANICS</w:t>
            </w:r>
          </w:p>
          <w:p>
            <w:pPr>
              <w:spacing w:after="0" w:before="0" w:line="300"/>
              <w:jc w:val="left"/>
            </w:pPr>
            <w:r>
              <w:rPr>
                <w:rFonts w:ascii="Lato" w:cs="Lato" w:eastAsia="Lato" w:hAnsi="Lato"/>
                <w:color w:val="1A1A1A"/>
                <w:sz w:val="22"/>
                <w:szCs w:val="22"/>
              </w:rPr>
              <w:t xml:space="preserve">On any scope that can produce mechanic’s liens (capital landscape, pool resurfacing, paint), require unconditional final lien waivers from the vendor AND each subcontractor or supplier before final payment. Texas Property Code Ch. 53 and Florida Statutes Ch. 713 are the relevant frameworks.</w:t>
            </w:r>
          </w:p>
        </w:tc>
      </w:tr>
    </w:tbl>
    <w:p>
      <w:r>
        <w:br w:type="page"/>
      </w:r>
    </w:p>
    <w:p>
      <w:pPr>
        <w:spacing w:after="60" w:before="0"/>
      </w:pPr>
      <w:r>
        <w:rPr>
          <w:rFonts w:ascii="Lato" w:cs="Lato" w:eastAsia="Lato" w:hAnsi="Lato"/>
          <w:b/>
          <w:bCs/>
          <w:color w:val="C9A24A"/>
          <w:spacing w:val="100"/>
          <w:sz w:val="16"/>
          <w:szCs w:val="16"/>
        </w:rPr>
        <w:t xml:space="preserve">WHAT’S NEGOTIABLE</w:t>
      </w:r>
    </w:p>
    <w:p>
      <w:pPr>
        <w:pStyle w:val="Heading1"/>
        <w:spacing w:after="160" w:before="280"/>
      </w:pPr>
      <w:r>
        <w:rPr>
          <w:rFonts w:ascii="Garamond" w:cs="Garamond" w:eastAsia="Garamond" w:hAnsi="Garamond"/>
          <w:b/>
          <w:bCs/>
          <w:color w:val="173F35"/>
          <w:sz w:val="40"/>
          <w:szCs w:val="40"/>
        </w:rPr>
        <w:t xml:space="preserve">Where to Negotiate, Where to Hold</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Vendors will sometimes ask for changes to the CIC-SC template. Most requests are reasonable; a few are red flags. Use the table below as a quick rule of thumb.</w:t>
      </w:r>
    </w:p>
    <w:p>
      <w:pPr>
        <w:pStyle w:val="Heading3"/>
        <w:spacing w:after="160" w:before="280"/>
      </w:pPr>
      <w:r>
        <w:rPr>
          <w:rFonts w:ascii="Garamond" w:cs="Garamond" w:eastAsia="Garamond" w:hAnsi="Garamond"/>
          <w:b/>
          <w:bCs/>
          <w:color w:val="173F35"/>
          <w:sz w:val="26"/>
          <w:szCs w:val="26"/>
        </w:rPr>
        <w:t xml:space="preserve">Usually negotiable</w:t>
      </w:r>
    </w:p>
    <w:p>
      <w:pPr>
        <w:pStyle w:val="ListParagraph"/>
        <w:numPr>
          <w:ilvl w:val="0"/>
          <w:numId w:val="2"/>
        </w:numPr>
        <w:spacing w:after="60" w:before="40" w:line="290"/>
      </w:pPr>
      <w:r>
        <w:rPr>
          <w:rFonts w:ascii="Lato" w:cs="Lato" w:eastAsia="Lato" w:hAnsi="Lato"/>
          <w:b/>
          <w:bCs/>
          <w:color w:val="173F35"/>
          <w:sz w:val="22"/>
          <w:szCs w:val="22"/>
        </w:rPr>
        <w:t xml:space="preserve">Payment terms — </w:t>
      </w:r>
      <w:r>
        <w:rPr>
          <w:rFonts w:ascii="Lato" w:cs="Lato" w:eastAsia="Lato" w:hAnsi="Lato"/>
          <w:color w:val="1A1A1A"/>
          <w:sz w:val="22"/>
          <w:szCs w:val="22"/>
        </w:rPr>
        <w:t xml:space="preserve">vendor request for 20-day or 15-day net is reasonable for smaller firms.</w:t>
      </w:r>
    </w:p>
    <w:p>
      <w:pPr>
        <w:pStyle w:val="ListParagraph"/>
        <w:numPr>
          <w:ilvl w:val="0"/>
          <w:numId w:val="2"/>
        </w:numPr>
        <w:spacing w:after="60" w:before="40" w:line="290"/>
      </w:pPr>
      <w:r>
        <w:rPr>
          <w:rFonts w:ascii="Lato" w:cs="Lato" w:eastAsia="Lato" w:hAnsi="Lato"/>
          <w:b/>
          <w:bCs/>
          <w:color w:val="173F35"/>
          <w:sz w:val="22"/>
          <w:szCs w:val="22"/>
        </w:rPr>
        <w:t xml:space="preserve">Notice address &amp; contacts — </w:t>
      </w:r>
      <w:r>
        <w:rPr>
          <w:rFonts w:ascii="Lato" w:cs="Lato" w:eastAsia="Lato" w:hAnsi="Lato"/>
          <w:color w:val="1A1A1A"/>
          <w:sz w:val="22"/>
          <w:szCs w:val="22"/>
        </w:rPr>
        <w:t xml:space="preserve">update freely; both Parties should know who gets formal notices.</w:t>
      </w:r>
    </w:p>
    <w:p>
      <w:pPr>
        <w:pStyle w:val="ListParagraph"/>
        <w:numPr>
          <w:ilvl w:val="0"/>
          <w:numId w:val="2"/>
        </w:numPr>
        <w:spacing w:after="60" w:before="40" w:line="290"/>
      </w:pPr>
      <w:r>
        <w:rPr>
          <w:rFonts w:ascii="Lato" w:cs="Lato" w:eastAsia="Lato" w:hAnsi="Lato"/>
          <w:b/>
          <w:bCs/>
          <w:color w:val="173F35"/>
          <w:sz w:val="22"/>
          <w:szCs w:val="22"/>
        </w:rPr>
        <w:t xml:space="preserve">Account Manager — </w:t>
      </w:r>
      <w:r>
        <w:rPr>
          <w:rFonts w:ascii="Lato" w:cs="Lato" w:eastAsia="Lato" w:hAnsi="Lato"/>
          <w:color w:val="1A1A1A"/>
          <w:sz w:val="22"/>
          <w:szCs w:val="22"/>
        </w:rPr>
        <w:t xml:space="preserve">named individual may need to change during the term; allow with written notice.</w:t>
      </w:r>
    </w:p>
    <w:p>
      <w:pPr>
        <w:pStyle w:val="ListParagraph"/>
        <w:numPr>
          <w:ilvl w:val="0"/>
          <w:numId w:val="2"/>
        </w:numPr>
        <w:spacing w:after="60" w:before="40" w:line="290"/>
      </w:pPr>
      <w:r>
        <w:rPr>
          <w:rFonts w:ascii="Lato" w:cs="Lato" w:eastAsia="Lato" w:hAnsi="Lato"/>
          <w:b/>
          <w:bCs/>
          <w:color w:val="173F35"/>
          <w:sz w:val="22"/>
          <w:szCs w:val="22"/>
        </w:rPr>
        <w:t xml:space="preserve">Service hours — </w:t>
      </w:r>
      <w:r>
        <w:rPr>
          <w:rFonts w:ascii="Lato" w:cs="Lato" w:eastAsia="Lato" w:hAnsi="Lato"/>
          <w:color w:val="1A1A1A"/>
          <w:sz w:val="22"/>
          <w:szCs w:val="22"/>
        </w:rPr>
        <w:t xml:space="preserve">adjust to match seasonal realities of the scope (e.g., pool service hours).</w:t>
      </w:r>
    </w:p>
    <w:p>
      <w:pPr>
        <w:pStyle w:val="Heading3"/>
        <w:spacing w:after="160" w:before="280"/>
      </w:pPr>
      <w:r>
        <w:rPr>
          <w:rFonts w:ascii="Garamond" w:cs="Garamond" w:eastAsia="Garamond" w:hAnsi="Garamond"/>
          <w:b/>
          <w:bCs/>
          <w:color w:val="173F35"/>
          <w:sz w:val="26"/>
          <w:szCs w:val="26"/>
        </w:rPr>
        <w:t xml:space="preserve">Hold the line</w:t>
      </w:r>
    </w:p>
    <w:p>
      <w:pPr>
        <w:pStyle w:val="ListParagraph"/>
        <w:numPr>
          <w:ilvl w:val="0"/>
          <w:numId w:val="2"/>
        </w:numPr>
        <w:spacing w:after="60" w:before="40" w:line="290"/>
      </w:pPr>
      <w:r>
        <w:rPr>
          <w:rFonts w:ascii="Lato" w:cs="Lato" w:eastAsia="Lato" w:hAnsi="Lato"/>
          <w:b/>
          <w:bCs/>
          <w:color w:val="173F35"/>
          <w:sz w:val="22"/>
          <w:szCs w:val="22"/>
        </w:rPr>
        <w:t xml:space="preserve">Insurance limits &amp; additional-insured language — </w:t>
      </w:r>
      <w:r>
        <w:rPr>
          <w:rFonts w:ascii="Lato" w:cs="Lato" w:eastAsia="Lato" w:hAnsi="Lato"/>
          <w:color w:val="1A1A1A"/>
          <w:sz w:val="22"/>
          <w:szCs w:val="22"/>
        </w:rPr>
        <w:t xml:space="preserve">Section 9 of the RFP was the basis for award; vendors who can’t meet it should be replaced.</w:t>
      </w:r>
    </w:p>
    <w:p>
      <w:pPr>
        <w:pStyle w:val="ListParagraph"/>
        <w:numPr>
          <w:ilvl w:val="0"/>
          <w:numId w:val="2"/>
        </w:numPr>
        <w:spacing w:after="60" w:before="40" w:line="290"/>
      </w:pPr>
      <w:r>
        <w:rPr>
          <w:rFonts w:ascii="Lato" w:cs="Lato" w:eastAsia="Lato" w:hAnsi="Lato"/>
          <w:b/>
          <w:bCs/>
          <w:color w:val="173F35"/>
          <w:sz w:val="22"/>
          <w:szCs w:val="22"/>
        </w:rPr>
        <w:t xml:space="preserve">Indemnity in the Association’s favor — </w:t>
      </w:r>
      <w:r>
        <w:rPr>
          <w:rFonts w:ascii="Lato" w:cs="Lato" w:eastAsia="Lato" w:hAnsi="Lato"/>
          <w:color w:val="1A1A1A"/>
          <w:sz w:val="22"/>
          <w:szCs w:val="22"/>
        </w:rPr>
        <w:t xml:space="preserve">the vendor controls its own people and methods; indemnity follows control.</w:t>
      </w:r>
    </w:p>
    <w:p>
      <w:pPr>
        <w:pStyle w:val="ListParagraph"/>
        <w:numPr>
          <w:ilvl w:val="0"/>
          <w:numId w:val="2"/>
        </w:numPr>
        <w:spacing w:after="60" w:before="40" w:line="290"/>
      </w:pPr>
      <w:r>
        <w:rPr>
          <w:rFonts w:ascii="Lato" w:cs="Lato" w:eastAsia="Lato" w:hAnsi="Lato"/>
          <w:b/>
          <w:bCs/>
          <w:color w:val="173F35"/>
          <w:sz w:val="22"/>
          <w:szCs w:val="22"/>
        </w:rPr>
        <w:t xml:space="preserve">Termination for convenience without penalty — </w:t>
      </w:r>
      <w:r>
        <w:rPr>
          <w:rFonts w:ascii="Lato" w:cs="Lato" w:eastAsia="Lato" w:hAnsi="Lato"/>
          <w:color w:val="1A1A1A"/>
          <w:sz w:val="22"/>
          <w:szCs w:val="22"/>
        </w:rPr>
        <w:t xml:space="preserve">Associations need flexibility; pro rata pay for completed work is sufficient.</w:t>
      </w:r>
    </w:p>
    <w:p>
      <w:pPr>
        <w:pStyle w:val="ListParagraph"/>
        <w:numPr>
          <w:ilvl w:val="0"/>
          <w:numId w:val="2"/>
        </w:numPr>
        <w:spacing w:after="60" w:before="40" w:line="290"/>
      </w:pPr>
      <w:r>
        <w:rPr>
          <w:rFonts w:ascii="Lato" w:cs="Lato" w:eastAsia="Lato" w:hAnsi="Lato"/>
          <w:b/>
          <w:bCs/>
          <w:color w:val="173F35"/>
          <w:sz w:val="22"/>
          <w:szCs w:val="22"/>
        </w:rPr>
        <w:t xml:space="preserve">Written-work-order requirement for as-needed work — </w:t>
      </w:r>
      <w:r>
        <w:rPr>
          <w:rFonts w:ascii="Lato" w:cs="Lato" w:eastAsia="Lato" w:hAnsi="Lato"/>
          <w:color w:val="1A1A1A"/>
          <w:sz w:val="22"/>
          <w:szCs w:val="22"/>
        </w:rPr>
        <w:t xml:space="preserve">single most important cost-control provision.</w:t>
      </w:r>
    </w:p>
    <w:p>
      <w:pPr>
        <w:pStyle w:val="ListParagraph"/>
        <w:numPr>
          <w:ilvl w:val="0"/>
          <w:numId w:val="2"/>
        </w:numPr>
        <w:spacing w:after="60" w:before="40" w:line="290"/>
      </w:pPr>
      <w:r>
        <w:rPr>
          <w:rFonts w:ascii="Lato" w:cs="Lato" w:eastAsia="Lato" w:hAnsi="Lato"/>
          <w:b/>
          <w:bCs/>
          <w:color w:val="173F35"/>
          <w:sz w:val="22"/>
          <w:szCs w:val="22"/>
        </w:rPr>
        <w:t xml:space="preserve">Lien-waiver framework — </w:t>
      </w:r>
      <w:r>
        <w:rPr>
          <w:rFonts w:ascii="Lato" w:cs="Lato" w:eastAsia="Lato" w:hAnsi="Lato"/>
          <w:color w:val="1A1A1A"/>
          <w:sz w:val="22"/>
          <w:szCs w:val="22"/>
        </w:rPr>
        <w:t xml:space="preserve">do not waive on any scope that can generate mechanic’s liens.</w:t>
      </w:r>
    </w:p>
    <w:p>
      <w:pPr>
        <w:pStyle w:val="ListParagraph"/>
        <w:numPr>
          <w:ilvl w:val="0"/>
          <w:numId w:val="2"/>
        </w:numPr>
        <w:spacing w:after="60" w:before="40" w:line="290"/>
      </w:pPr>
      <w:r>
        <w:rPr>
          <w:rFonts w:ascii="Lato" w:cs="Lato" w:eastAsia="Lato" w:hAnsi="Lato"/>
          <w:b/>
          <w:bCs/>
          <w:color w:val="173F35"/>
          <w:sz w:val="22"/>
          <w:szCs w:val="22"/>
        </w:rPr>
        <w:t xml:space="preserve">Governing-law and venue in the Association’s state and county — </w:t>
      </w:r>
      <w:r>
        <w:rPr>
          <w:rFonts w:ascii="Lato" w:cs="Lato" w:eastAsia="Lato" w:hAnsi="Lato"/>
          <w:color w:val="1A1A1A"/>
          <w:sz w:val="22"/>
          <w:szCs w:val="22"/>
        </w:rPr>
        <w:t xml:space="preserve">no out-of-state forum clauses.</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RED FLAGS</w:t>
            </w:r>
          </w:p>
          <w:p>
            <w:pPr>
              <w:pStyle w:val="ListParagraph"/>
              <w:numPr>
                <w:ilvl w:val="0"/>
                <w:numId w:val="2"/>
              </w:numPr>
              <w:spacing w:after="60" w:before="40" w:line="290"/>
            </w:pPr>
            <w:r>
              <w:rPr>
                <w:rFonts w:ascii="Lato" w:cs="Lato" w:eastAsia="Lato" w:hAnsi="Lato"/>
                <w:color w:val="1A1A1A"/>
                <w:sz w:val="22"/>
                <w:szCs w:val="22"/>
              </w:rPr>
              <w:t xml:space="preserve">Mutual or vendor-favored indemnity — pushes the wrong risk onto the Association.</w:t>
            </w:r>
          </w:p>
          <w:p>
            <w:pPr>
              <w:pStyle w:val="ListParagraph"/>
              <w:numPr>
                <w:ilvl w:val="0"/>
                <w:numId w:val="2"/>
              </w:numPr>
              <w:spacing w:after="60" w:before="40" w:line="290"/>
            </w:pPr>
            <w:r>
              <w:rPr>
                <w:rFonts w:ascii="Lato" w:cs="Lato" w:eastAsia="Lato" w:hAnsi="Lato"/>
                <w:color w:val="1A1A1A"/>
                <w:sz w:val="22"/>
                <w:szCs w:val="22"/>
              </w:rPr>
              <w:t xml:space="preserve">Auto-renewal with “evergreen” terms — prevents the Association from rebidding cleanly.</w:t>
            </w:r>
          </w:p>
          <w:p>
            <w:pPr>
              <w:pStyle w:val="ListParagraph"/>
              <w:numPr>
                <w:ilvl w:val="0"/>
                <w:numId w:val="2"/>
              </w:numPr>
              <w:spacing w:after="60" w:before="40" w:line="290"/>
            </w:pPr>
            <w:r>
              <w:rPr>
                <w:rFonts w:ascii="Lato" w:cs="Lato" w:eastAsia="Lato" w:hAnsi="Lato"/>
                <w:color w:val="1A1A1A"/>
                <w:sz w:val="22"/>
                <w:szCs w:val="22"/>
              </w:rPr>
              <w:t xml:space="preserve">Cap on vendor liability at the contract amount — too narrow given the risks of the scope.</w:t>
            </w:r>
          </w:p>
          <w:p>
            <w:pPr>
              <w:pStyle w:val="ListParagraph"/>
              <w:numPr>
                <w:ilvl w:val="0"/>
                <w:numId w:val="2"/>
              </w:numPr>
              <w:spacing w:after="60" w:before="40" w:line="290"/>
            </w:pPr>
            <w:r>
              <w:rPr>
                <w:rFonts w:ascii="Lato" w:cs="Lato" w:eastAsia="Lato" w:hAnsi="Lato"/>
                <w:color w:val="1A1A1A"/>
                <w:sz w:val="22"/>
                <w:szCs w:val="22"/>
              </w:rPr>
              <w:t xml:space="preserve">Arbitration in a faraway forum — adds expense and friction to enforcement.</w:t>
            </w:r>
          </w:p>
          <w:p>
            <w:pPr>
              <w:pStyle w:val="ListParagraph"/>
              <w:numPr>
                <w:ilvl w:val="0"/>
                <w:numId w:val="2"/>
              </w:numPr>
              <w:spacing w:after="60" w:before="40" w:line="290"/>
            </w:pPr>
            <w:r>
              <w:rPr>
                <w:rFonts w:ascii="Lato" w:cs="Lato" w:eastAsia="Lato" w:hAnsi="Lato"/>
                <w:color w:val="1A1A1A"/>
                <w:sz w:val="22"/>
                <w:szCs w:val="22"/>
              </w:rPr>
              <w:t xml:space="preserve">“Time is not of the essence” combined with no firm deadlines — relaxes vendor obligations without giving anything to the Association.</w:t>
            </w:r>
          </w:p>
          <w:p>
            <w:pPr>
              <w:pStyle w:val="ListParagraph"/>
              <w:numPr>
                <w:ilvl w:val="0"/>
                <w:numId w:val="2"/>
              </w:numPr>
              <w:spacing w:after="60" w:before="40" w:line="290"/>
            </w:pPr>
            <w:r>
              <w:rPr>
                <w:rFonts w:ascii="Lato" w:cs="Lato" w:eastAsia="Lato" w:hAnsi="Lato"/>
                <w:color w:val="1A1A1A"/>
                <w:sz w:val="22"/>
                <w:szCs w:val="22"/>
              </w:rPr>
              <w:t xml:space="preserve">Out-of-state choice of law for a service contract performed in your state.</w:t>
            </w:r>
          </w:p>
        </w:tc>
      </w:tr>
    </w:tbl>
    <w:p>
      <w:r>
        <w:br w:type="page"/>
      </w:r>
    </w:p>
    <w:p>
      <w:pPr>
        <w:spacing w:after="60" w:before="0"/>
      </w:pPr>
      <w:r>
        <w:rPr>
          <w:rFonts w:ascii="Lato" w:cs="Lato" w:eastAsia="Lato" w:hAnsi="Lato"/>
          <w:b/>
          <w:bCs/>
          <w:color w:val="C9A24A"/>
          <w:spacing w:val="100"/>
          <w:sz w:val="16"/>
          <w:szCs w:val="16"/>
        </w:rPr>
        <w:t xml:space="preserve">FREQUENTLY ASKED QUESTIONS</w:t>
      </w:r>
    </w:p>
    <w:p>
      <w:pPr>
        <w:pStyle w:val="Heading1"/>
        <w:spacing w:after="160" w:before="280"/>
      </w:pPr>
      <w:r>
        <w:rPr>
          <w:rFonts w:ascii="Garamond" w:cs="Garamond" w:eastAsia="Garamond" w:hAnsi="Garamond"/>
          <w:b/>
          <w:bCs/>
          <w:color w:val="173F35"/>
          <w:sz w:val="40"/>
          <w:szCs w:val="40"/>
        </w:rPr>
        <w:t xml:space="preserve">FAQs</w:t>
      </w:r>
    </w:p>
    <w:p>
      <w:pPr>
        <w:pBdr>
          <w:bottom w:val="single" w:color="C9A24A" w:sz="8" w:space="1"/>
        </w:pBdr>
        <w:spacing w:after="120" w:before="80"/>
      </w:pPr>
      <w:r>
        <w:t xml:space="preserve"/>
      </w:r>
    </w:p>
    <w:p>
      <w:pPr>
        <w:spacing w:after="60" w:before="200"/>
      </w:pPr>
      <w:r>
        <w:rPr>
          <w:rFonts w:ascii="Garamond" w:cs="Garamond" w:eastAsia="Garamond" w:hAnsi="Garamond"/>
          <w:b/>
          <w:bCs/>
          <w:color w:val="173F35"/>
          <w:sz w:val="26"/>
          <w:szCs w:val="26"/>
        </w:rPr>
        <w:t xml:space="preserve">Who signs the contract for the Association?</w:t>
      </w:r>
    </w:p>
    <w:p>
      <w:pPr>
        <w:spacing w:after="0" w:before="0" w:line="320"/>
        <w:jc w:val="left"/>
      </w:pPr>
      <w:r>
        <w:rPr>
          <w:rFonts w:ascii="Lato" w:cs="Lato" w:eastAsia="Lato" w:hAnsi="Lato"/>
          <w:color w:val="1A1A1A"/>
          <w:sz w:val="22"/>
          <w:szCs w:val="22"/>
        </w:rPr>
        <w:t xml:space="preserve">The Board President or another officer specifically authorized in the meeting minutes that approved the award. The Manager may countersign as a witness but is not the contracting party.</w:t>
      </w:r>
    </w:p>
    <w:p>
      <w:pPr>
        <w:spacing w:after="60" w:before="200"/>
      </w:pPr>
      <w:r>
        <w:rPr>
          <w:rFonts w:ascii="Garamond" w:cs="Garamond" w:eastAsia="Garamond" w:hAnsi="Garamond"/>
          <w:b/>
          <w:bCs/>
          <w:color w:val="173F35"/>
          <w:sz w:val="26"/>
          <w:szCs w:val="26"/>
        </w:rPr>
        <w:t xml:space="preserve">Do we need to notarize the signatures?</w:t>
      </w:r>
    </w:p>
    <w:p>
      <w:pPr>
        <w:spacing w:after="0" w:before="0" w:line="320"/>
        <w:jc w:val="left"/>
      </w:pPr>
      <w:r>
        <w:rPr>
          <w:rFonts w:ascii="Lato" w:cs="Lato" w:eastAsia="Lato" w:hAnsi="Lato"/>
          <w:color w:val="1A1A1A"/>
          <w:sz w:val="22"/>
          <w:szCs w:val="22"/>
        </w:rPr>
        <w:t xml:space="preserve">No. Notarization is not legally required under Texas or Florida law for a services agreement. Some associations elect to notarize as a matter of practice. If notarized, attach the appropriate acknowledgment block.</w:t>
      </w:r>
    </w:p>
    <w:p>
      <w:pPr>
        <w:spacing w:after="60" w:before="200"/>
      </w:pPr>
      <w:r>
        <w:rPr>
          <w:rFonts w:ascii="Garamond" w:cs="Garamond" w:eastAsia="Garamond" w:hAnsi="Garamond"/>
          <w:b/>
          <w:bCs/>
          <w:color w:val="173F35"/>
          <w:sz w:val="26"/>
          <w:szCs w:val="26"/>
        </w:rPr>
        <w:t xml:space="preserve">Can we sign electronically?</w:t>
      </w:r>
    </w:p>
    <w:p>
      <w:pPr>
        <w:spacing w:after="0" w:before="0" w:line="320"/>
        <w:jc w:val="left"/>
      </w:pPr>
      <w:r>
        <w:rPr>
          <w:rFonts w:ascii="Lato" w:cs="Lato" w:eastAsia="Lato" w:hAnsi="Lato"/>
          <w:color w:val="1A1A1A"/>
          <w:sz w:val="22"/>
          <w:szCs w:val="22"/>
        </w:rPr>
        <w:t xml:space="preserve">Yes. The template specifically authorizes electronic signature and counterparts (Article 13). DocuSign, Adobe Sign, and similar tools are acceptable under the Texas Uniform Electronic Transactions Act (Tex. Bus. &amp; Com. Code Ch. 322) and the Florida Electronic Signature Act (Fla. Stat. § 668.50).</w:t>
      </w:r>
    </w:p>
    <w:p>
      <w:pPr>
        <w:spacing w:after="60" w:before="200"/>
      </w:pPr>
      <w:r>
        <w:rPr>
          <w:rFonts w:ascii="Garamond" w:cs="Garamond" w:eastAsia="Garamond" w:hAnsi="Garamond"/>
          <w:b/>
          <w:bCs/>
          <w:color w:val="173F35"/>
          <w:sz w:val="26"/>
          <w:szCs w:val="26"/>
        </w:rPr>
        <w:t xml:space="preserve">What if the vendor insists on its own form?</w:t>
      </w:r>
    </w:p>
    <w:p>
      <w:pPr>
        <w:spacing w:after="0" w:before="0" w:line="320"/>
        <w:jc w:val="left"/>
      </w:pPr>
      <w:r>
        <w:rPr>
          <w:rFonts w:ascii="Lato" w:cs="Lato" w:eastAsia="Lato" w:hAnsi="Lato"/>
          <w:color w:val="1A1A1A"/>
          <w:sz w:val="22"/>
          <w:szCs w:val="22"/>
        </w:rPr>
        <w:t xml:space="preserve">Decline. The CIC-SC template is the Association’s paper. If the vendor has specific concerns, negotiate the specific clause within the CIC-SC template rather than switching to the vendor’s form. Switching papers loses control of the entire document.</w:t>
      </w:r>
    </w:p>
    <w:p>
      <w:pPr>
        <w:spacing w:after="60" w:before="200"/>
      </w:pPr>
      <w:r>
        <w:rPr>
          <w:rFonts w:ascii="Garamond" w:cs="Garamond" w:eastAsia="Garamond" w:hAnsi="Garamond"/>
          <w:b/>
          <w:bCs/>
          <w:color w:val="173F35"/>
          <w:sz w:val="26"/>
          <w:szCs w:val="26"/>
        </w:rPr>
        <w:t xml:space="preserve">Can we amend the contract during the term?</w:t>
      </w:r>
    </w:p>
    <w:p>
      <w:pPr>
        <w:spacing w:after="0" w:before="0" w:line="320"/>
        <w:jc w:val="left"/>
      </w:pPr>
      <w:r>
        <w:rPr>
          <w:rFonts w:ascii="Lato" w:cs="Lato" w:eastAsia="Lato" w:hAnsi="Lato"/>
          <w:color w:val="1A1A1A"/>
          <w:sz w:val="22"/>
          <w:szCs w:val="22"/>
        </w:rPr>
        <w:t xml:space="preserve">Yes — by a written instrument signed by both Parties. Amendments are typically used for pricing adjustments at renewal, scope additions/deletions, or notice-address updates. Amend in writing; never amend by side-conversation or email.</w:t>
      </w:r>
    </w:p>
    <w:p>
      <w:pPr>
        <w:spacing w:after="60" w:before="200"/>
      </w:pPr>
      <w:r>
        <w:rPr>
          <w:rFonts w:ascii="Garamond" w:cs="Garamond" w:eastAsia="Garamond" w:hAnsi="Garamond"/>
          <w:b/>
          <w:bCs/>
          <w:color w:val="173F35"/>
          <w:sz w:val="26"/>
          <w:szCs w:val="26"/>
        </w:rPr>
        <w:t xml:space="preserve">Should we record the contract with the county?</w:t>
      </w:r>
    </w:p>
    <w:p>
      <w:pPr>
        <w:spacing w:after="0" w:before="0" w:line="320"/>
        <w:jc w:val="left"/>
      </w:pPr>
      <w:r>
        <w:rPr>
          <w:rFonts w:ascii="Lato" w:cs="Lato" w:eastAsia="Lato" w:hAnsi="Lato"/>
          <w:color w:val="1A1A1A"/>
          <w:sz w:val="22"/>
          <w:szCs w:val="22"/>
        </w:rPr>
        <w:t xml:space="preserve">Generally no. Tier 1–2 service contracts are not real-estate instruments and do not need to be recorded. Recording can create cloud-on-title issues and is not the right place for these documents.</w:t>
      </w:r>
    </w:p>
    <w:p>
      <w:pPr>
        <w:spacing w:after="60" w:before="200"/>
      </w:pPr>
      <w:r>
        <w:rPr>
          <w:rFonts w:ascii="Garamond" w:cs="Garamond" w:eastAsia="Garamond" w:hAnsi="Garamond"/>
          <w:b/>
          <w:bCs/>
          <w:color w:val="173F35"/>
          <w:sz w:val="26"/>
          <w:szCs w:val="26"/>
        </w:rPr>
        <w:t xml:space="preserve">What if a dispute arises mid-contract?</w:t>
      </w:r>
    </w:p>
    <w:p>
      <w:pPr>
        <w:spacing w:after="0" w:before="0" w:line="320"/>
        <w:jc w:val="left"/>
      </w:pPr>
      <w:r>
        <w:rPr>
          <w:rFonts w:ascii="Lato" w:cs="Lato" w:eastAsia="Lato" w:hAnsi="Lato"/>
          <w:color w:val="1A1A1A"/>
          <w:sz w:val="22"/>
          <w:szCs w:val="22"/>
        </w:rPr>
        <w:t xml:space="preserve">Start with Article 9: deliver written notice of the issue, allow the cure period, then exercise rights only after cure has lapsed. Most disputes resolve at the cure-notice stage. Document everything; involve counsel before terminating for cause.</w:t>
      </w:r>
    </w:p>
    <w:p>
      <w:pPr>
        <w:spacing w:after="60" w:before="200"/>
      </w:pPr>
      <w:r>
        <w:rPr>
          <w:rFonts w:ascii="Garamond" w:cs="Garamond" w:eastAsia="Garamond" w:hAnsi="Garamond"/>
          <w:b/>
          <w:bCs/>
          <w:color w:val="173F35"/>
          <w:sz w:val="26"/>
          <w:szCs w:val="26"/>
        </w:rPr>
        <w:t xml:space="preserve">Can we sue the vendor for damages?</w:t>
      </w:r>
    </w:p>
    <w:p>
      <w:pPr>
        <w:spacing w:after="0" w:before="0" w:line="320"/>
        <w:jc w:val="left"/>
      </w:pPr>
      <w:r>
        <w:rPr>
          <w:rFonts w:ascii="Lato" w:cs="Lato" w:eastAsia="Lato" w:hAnsi="Lato"/>
          <w:color w:val="1A1A1A"/>
          <w:sz w:val="22"/>
          <w:szCs w:val="22"/>
        </w:rPr>
        <w:t xml:space="preserve">Yes — Article 8 provides for indemnity in the Association’s favor for property damage, bodily injury, and Vendor breach. For breach-of-contract damages, the standard remedies apply. Consult counsel before filing; most claims resolve without litigation if early notice is given.</w:t>
      </w:r>
    </w:p>
    <w:p>
      <w:pPr>
        <w:spacing w:after="60" w:before="200"/>
      </w:pPr>
      <w:r>
        <w:rPr>
          <w:rFonts w:ascii="Garamond" w:cs="Garamond" w:eastAsia="Garamond" w:hAnsi="Garamond"/>
          <w:b/>
          <w:bCs/>
          <w:color w:val="173F35"/>
          <w:sz w:val="26"/>
          <w:szCs w:val="26"/>
        </w:rPr>
        <w:t xml:space="preserve">What happens if the vendor goes out of business?</w:t>
      </w:r>
    </w:p>
    <w:p>
      <w:pPr>
        <w:spacing w:after="0" w:before="0" w:line="320"/>
        <w:jc w:val="left"/>
      </w:pPr>
      <w:r>
        <w:rPr>
          <w:rFonts w:ascii="Lato" w:cs="Lato" w:eastAsia="Lato" w:hAnsi="Lato"/>
          <w:color w:val="1A1A1A"/>
          <w:sz w:val="22"/>
          <w:szCs w:val="22"/>
        </w:rPr>
        <w:t xml:space="preserve">Bankruptcy or assignment for the benefit of creditors is a Material Breach under Article 9, allowing immediate termination. Have a backup vendor identified before this happens — the CIC-SC Annual Operations Calendar tracks this risk.</w:t>
      </w:r>
    </w:p>
    <w:p>
      <w:pPr>
        <w:spacing w:after="60" w:before="200"/>
      </w:pPr>
      <w:r>
        <w:rPr>
          <w:rFonts w:ascii="Garamond" w:cs="Garamond" w:eastAsia="Garamond" w:hAnsi="Garamond"/>
          <w:b/>
          <w:bCs/>
          <w:color w:val="173F35"/>
          <w:sz w:val="26"/>
          <w:szCs w:val="26"/>
        </w:rPr>
        <w:t xml:space="preserve">How long do we keep the executed contract?</w:t>
      </w:r>
    </w:p>
    <w:p>
      <w:pPr>
        <w:spacing w:after="0" w:before="0" w:line="320"/>
        <w:jc w:val="left"/>
      </w:pPr>
      <w:r>
        <w:rPr>
          <w:rFonts w:ascii="Lato" w:cs="Lato" w:eastAsia="Lato" w:hAnsi="Lato"/>
          <w:color w:val="1A1A1A"/>
          <w:sz w:val="22"/>
          <w:szCs w:val="22"/>
        </w:rPr>
        <w:t xml:space="preserve">At least seven (7) years after the contract ends, along with the RFP, the proposal, the Comparative Proposal Evaluation Worksheet, and the meeting minutes that approved the award. Longer if your governing documents or insurance carrier require.</w:t>
      </w:r>
    </w:p>
    <w:p>
      <w:r>
        <w:br w:type="page"/>
      </w:r>
    </w:p>
    <w:p>
      <w:pPr>
        <w:spacing w:after="60" w:before="0"/>
      </w:pPr>
      <w:r>
        <w:rPr>
          <w:rFonts w:ascii="Lato" w:cs="Lato" w:eastAsia="Lato" w:hAnsi="Lato"/>
          <w:b/>
          <w:bCs/>
          <w:color w:val="C9A24A"/>
          <w:spacing w:val="100"/>
          <w:sz w:val="16"/>
          <w:szCs w:val="16"/>
        </w:rPr>
        <w:t xml:space="preserve">STATE-SPECIFIC GUIDANCE</w:t>
      </w:r>
    </w:p>
    <w:p>
      <w:pPr>
        <w:pStyle w:val="Heading1"/>
        <w:spacing w:after="160" w:before="280"/>
      </w:pPr>
      <w:r>
        <w:rPr>
          <w:rFonts w:ascii="Garamond" w:cs="Garamond" w:eastAsia="Garamond" w:hAnsi="Garamond"/>
          <w:b/>
          <w:bCs/>
          <w:color w:val="173F35"/>
          <w:sz w:val="40"/>
          <w:szCs w:val="40"/>
        </w:rPr>
        <w:t xml:space="preserve">Texas &amp; Florida Considerations</w:t>
      </w:r>
    </w:p>
    <w:p>
      <w:pPr>
        <w:pBdr>
          <w:bottom w:val="single" w:color="C9A24A" w:sz="8" w:space="1"/>
        </w:pBdr>
        <w:spacing w:after="120" w:before="80"/>
      </w:pPr>
      <w:r>
        <w:t xml:space="preserve"/>
      </w:r>
    </w:p>
    <w:p>
      <w:pPr>
        <w:spacing w:after="200" w:before="0" w:line="300"/>
        <w:jc w:val="left"/>
      </w:pPr>
      <w:r>
        <w:rPr>
          <w:rFonts w:ascii="Lato" w:cs="Lato" w:eastAsia="Lato" w:hAnsi="Lato"/>
          <w:i/>
          <w:iCs/>
          <w:color w:val="5C5C5C"/>
          <w:sz w:val="22"/>
          <w:szCs w:val="22"/>
        </w:rPr>
        <w:t xml:space="preserve">High-level summary. Verify current effective text and amendment status with counsel before relying on any specific provision.</w:t>
      </w:r>
    </w:p>
    <w:p>
      <w:pPr>
        <w:pStyle w:val="Heading2"/>
        <w:spacing w:after="160" w:before="280"/>
      </w:pPr>
      <w:r>
        <w:rPr>
          <w:rFonts w:ascii="Garamond" w:cs="Garamond" w:eastAsia="Garamond" w:hAnsi="Garamond"/>
          <w:b/>
          <w:bCs/>
          <w:color w:val="173F35"/>
          <w:sz w:val="30"/>
          <w:szCs w:val="30"/>
        </w:rPr>
        <w:t xml:space="preserve">Texas</w:t>
      </w:r>
    </w:p>
    <w:p>
      <w:pPr>
        <w:pStyle w:val="ListParagraph"/>
        <w:numPr>
          <w:ilvl w:val="0"/>
          <w:numId w:val="2"/>
        </w:numPr>
        <w:spacing w:after="60" w:before="40" w:line="290"/>
      </w:pPr>
      <w:r>
        <w:rPr>
          <w:rFonts w:ascii="Lato" w:cs="Lato" w:eastAsia="Lato" w:hAnsi="Lato"/>
          <w:b/>
          <w:bCs/>
          <w:color w:val="173F35"/>
          <w:sz w:val="22"/>
          <w:szCs w:val="22"/>
        </w:rPr>
        <w:t xml:space="preserve">Tex. Prop. Code Ch. 53  </w:t>
      </w:r>
      <w:r>
        <w:rPr>
          <w:rFonts w:ascii="Lato" w:cs="Lato" w:eastAsia="Lato" w:hAnsi="Lato"/>
          <w:color w:val="1A1A1A"/>
          <w:sz w:val="22"/>
          <w:szCs w:val="22"/>
        </w:rPr>
        <w:t xml:space="preserve">— mechanic’s and materialman’s lien statutes. Article 11 references this framework for lien waivers on lien-eligible work.</w:t>
      </w:r>
    </w:p>
    <w:p>
      <w:pPr>
        <w:pStyle w:val="ListParagraph"/>
        <w:numPr>
          <w:ilvl w:val="0"/>
          <w:numId w:val="2"/>
        </w:numPr>
        <w:spacing w:after="60" w:before="40" w:line="290"/>
      </w:pPr>
      <w:r>
        <w:rPr>
          <w:rFonts w:ascii="Lato" w:cs="Lato" w:eastAsia="Lato" w:hAnsi="Lato"/>
          <w:b/>
          <w:bCs/>
          <w:color w:val="173F35"/>
          <w:sz w:val="22"/>
          <w:szCs w:val="22"/>
        </w:rPr>
        <w:t xml:space="preserve">Tex. Bus. Orgs. Code § 22.230  </w:t>
      </w:r>
      <w:r>
        <w:rPr>
          <w:rFonts w:ascii="Lato" w:cs="Lato" w:eastAsia="Lato" w:hAnsi="Lato"/>
          <w:color w:val="1A1A1A"/>
          <w:sz w:val="22"/>
          <w:szCs w:val="22"/>
        </w:rPr>
        <w:t xml:space="preserve">— governs contracts and transactions involving interested directors, officers, and members of nonprofit corporations.</w:t>
      </w:r>
    </w:p>
    <w:p>
      <w:pPr>
        <w:pStyle w:val="ListParagraph"/>
        <w:numPr>
          <w:ilvl w:val="0"/>
          <w:numId w:val="2"/>
        </w:numPr>
        <w:spacing w:after="60" w:before="40" w:line="290"/>
      </w:pPr>
      <w:r>
        <w:rPr>
          <w:rFonts w:ascii="Lato" w:cs="Lato" w:eastAsia="Lato" w:hAnsi="Lato"/>
          <w:b/>
          <w:bCs/>
          <w:color w:val="173F35"/>
          <w:sz w:val="22"/>
          <w:szCs w:val="22"/>
        </w:rPr>
        <w:t xml:space="preserve">Tex. Civ. Prac. &amp; Rem. Code Ch. 151  </w:t>
      </w:r>
      <w:r>
        <w:rPr>
          <w:rFonts w:ascii="Lato" w:cs="Lato" w:eastAsia="Lato" w:hAnsi="Lato"/>
          <w:color w:val="1A1A1A"/>
          <w:sz w:val="22"/>
          <w:szCs w:val="22"/>
        </w:rPr>
        <w:t xml:space="preserve">— Texas Anti-Indemnity Act, applicable to certain construction contracts. The CIC-SC template is drafted to avoid the Act’s prohibited provisions but counsel review is prudent for any scope that includes construction work.</w:t>
      </w:r>
    </w:p>
    <w:p>
      <w:pPr>
        <w:pStyle w:val="ListParagraph"/>
        <w:numPr>
          <w:ilvl w:val="0"/>
          <w:numId w:val="2"/>
        </w:numPr>
        <w:spacing w:after="60" w:before="40" w:line="290"/>
      </w:pPr>
      <w:r>
        <w:rPr>
          <w:rFonts w:ascii="Lato" w:cs="Lato" w:eastAsia="Lato" w:hAnsi="Lato"/>
          <w:b/>
          <w:bCs/>
          <w:color w:val="173F35"/>
          <w:sz w:val="22"/>
          <w:szCs w:val="22"/>
        </w:rPr>
        <w:t xml:space="preserve">Tex. Bus. &amp; Com. Code Ch. 322  </w:t>
      </w:r>
      <w:r>
        <w:rPr>
          <w:rFonts w:ascii="Lato" w:cs="Lato" w:eastAsia="Lato" w:hAnsi="Lato"/>
          <w:color w:val="1A1A1A"/>
          <w:sz w:val="22"/>
          <w:szCs w:val="22"/>
        </w:rPr>
        <w:t xml:space="preserve">— Texas Uniform Electronic Transactions Act; authorizes electronic signatures.</w:t>
      </w:r>
    </w:p>
    <w:p>
      <w:pPr>
        <w:pStyle w:val="Heading2"/>
        <w:spacing w:after="160" w:before="280"/>
      </w:pPr>
      <w:r>
        <w:rPr>
          <w:rFonts w:ascii="Garamond" w:cs="Garamond" w:eastAsia="Garamond" w:hAnsi="Garamond"/>
          <w:b/>
          <w:bCs/>
          <w:color w:val="173F35"/>
          <w:sz w:val="30"/>
          <w:szCs w:val="30"/>
        </w:rPr>
        <w:t xml:space="preserve">Florida</w:t>
      </w:r>
    </w:p>
    <w:p>
      <w:pPr>
        <w:pStyle w:val="ListParagraph"/>
        <w:numPr>
          <w:ilvl w:val="0"/>
          <w:numId w:val="2"/>
        </w:numPr>
        <w:spacing w:after="60" w:before="40" w:line="290"/>
      </w:pPr>
      <w:r>
        <w:rPr>
          <w:rFonts w:ascii="Lato" w:cs="Lato" w:eastAsia="Lato" w:hAnsi="Lato"/>
          <w:b/>
          <w:bCs/>
          <w:color w:val="173F35"/>
          <w:sz w:val="22"/>
          <w:szCs w:val="22"/>
        </w:rPr>
        <w:t xml:space="preserve">Fla. Stat. Ch. 713  </w:t>
      </w:r>
      <w:r>
        <w:rPr>
          <w:rFonts w:ascii="Lato" w:cs="Lato" w:eastAsia="Lato" w:hAnsi="Lato"/>
          <w:color w:val="1A1A1A"/>
          <w:sz w:val="22"/>
          <w:szCs w:val="22"/>
        </w:rPr>
        <w:t xml:space="preserve">— construction-lien statutes. Article 11 references this framework for lien waivers on lien-eligible work.</w:t>
      </w:r>
    </w:p>
    <w:p>
      <w:pPr>
        <w:pStyle w:val="ListParagraph"/>
        <w:numPr>
          <w:ilvl w:val="0"/>
          <w:numId w:val="2"/>
        </w:numPr>
        <w:spacing w:after="60" w:before="40" w:line="290"/>
      </w:pPr>
      <w:r>
        <w:rPr>
          <w:rFonts w:ascii="Lato" w:cs="Lato" w:eastAsia="Lato" w:hAnsi="Lato"/>
          <w:b/>
          <w:bCs/>
          <w:color w:val="173F35"/>
          <w:sz w:val="22"/>
          <w:szCs w:val="22"/>
        </w:rPr>
        <w:t xml:space="preserve">Fla. Stat. § 718.3026  </w:t>
      </w:r>
      <w:r>
        <w:rPr>
          <w:rFonts w:ascii="Lato" w:cs="Lato" w:eastAsia="Lato" w:hAnsi="Lato"/>
          <w:color w:val="1A1A1A"/>
          <w:sz w:val="22"/>
          <w:szCs w:val="22"/>
        </w:rPr>
        <w:t xml:space="preserve">— Contracts for products and services; condominium associations should confirm the bidding process complied with current law before contract execution.</w:t>
      </w:r>
    </w:p>
    <w:p>
      <w:pPr>
        <w:pStyle w:val="ListParagraph"/>
        <w:numPr>
          <w:ilvl w:val="0"/>
          <w:numId w:val="2"/>
        </w:numPr>
        <w:spacing w:after="60" w:before="40" w:line="290"/>
      </w:pPr>
      <w:r>
        <w:rPr>
          <w:rFonts w:ascii="Lato" w:cs="Lato" w:eastAsia="Lato" w:hAnsi="Lato"/>
          <w:b/>
          <w:bCs/>
          <w:color w:val="173F35"/>
          <w:sz w:val="22"/>
          <w:szCs w:val="22"/>
        </w:rPr>
        <w:t xml:space="preserve">Fla. Stat. § 668.50  </w:t>
      </w:r>
      <w:r>
        <w:rPr>
          <w:rFonts w:ascii="Lato" w:cs="Lato" w:eastAsia="Lato" w:hAnsi="Lato"/>
          <w:color w:val="1A1A1A"/>
          <w:sz w:val="22"/>
          <w:szCs w:val="22"/>
        </w:rPr>
        <w:t xml:space="preserve">— Florida Electronic Signature Act; authorizes electronic signatures.</w:t>
      </w:r>
    </w:p>
    <w:p>
      <w:pPr>
        <w:pStyle w:val="ListParagraph"/>
        <w:numPr>
          <w:ilvl w:val="0"/>
          <w:numId w:val="2"/>
        </w:numPr>
        <w:spacing w:after="60" w:before="40" w:line="290"/>
      </w:pPr>
      <w:r>
        <w:rPr>
          <w:rFonts w:ascii="Lato" w:cs="Lato" w:eastAsia="Lato" w:hAnsi="Lato"/>
          <w:b/>
          <w:bCs/>
          <w:color w:val="173F35"/>
          <w:sz w:val="22"/>
          <w:szCs w:val="22"/>
        </w:rPr>
        <w:t xml:space="preserve">Fla. Stat. § 718.111(11)  </w:t>
      </w:r>
      <w:r>
        <w:rPr>
          <w:rFonts w:ascii="Lato" w:cs="Lato" w:eastAsia="Lato" w:hAnsi="Lato"/>
          <w:color w:val="1A1A1A"/>
          <w:sz w:val="22"/>
          <w:szCs w:val="22"/>
        </w:rPr>
        <w:t xml:space="preserve">— condominium insurance; coordinate with vendor coverage requirements in Article 7.</w:t>
      </w:r>
    </w:p>
    <w:p>
      <w:r>
        <w:br w:type="page"/>
      </w:r>
    </w:p>
    <w:p>
      <w:pPr>
        <w:spacing w:after="60" w:before="0"/>
      </w:pPr>
      <w:r>
        <w:rPr>
          <w:rFonts w:ascii="Lato" w:cs="Lato" w:eastAsia="Lato" w:hAnsi="Lato"/>
          <w:b/>
          <w:bCs/>
          <w:color w:val="C9A24A"/>
          <w:spacing w:val="100"/>
          <w:sz w:val="16"/>
          <w:szCs w:val="16"/>
        </w:rPr>
        <w:t xml:space="preserve">RELATED RESOURCES</w:t>
      </w:r>
    </w:p>
    <w:p>
      <w:pPr>
        <w:pStyle w:val="Heading1"/>
        <w:spacing w:after="160" w:before="280"/>
      </w:pPr>
      <w:r>
        <w:rPr>
          <w:rFonts w:ascii="Garamond" w:cs="Garamond" w:eastAsia="Garamond" w:hAnsi="Garamond"/>
          <w:b/>
          <w:bCs/>
          <w:color w:val="173F35"/>
          <w:sz w:val="40"/>
          <w:szCs w:val="40"/>
        </w:rPr>
        <w:t xml:space="preserve">From the CIC-SC Library</w:t>
      </w:r>
    </w:p>
    <w:p>
      <w:pPr>
        <w:pBdr>
          <w:bottom w:val="single" w:color="C9A24A" w:sz="8" w:space="1"/>
        </w:pBdr>
        <w:spacing w:after="120" w:before="80"/>
      </w:pPr>
      <w:r>
        <w:t xml:space="preserve"/>
      </w:r>
    </w:p>
    <w:p>
      <w:pPr>
        <w:pStyle w:val="ListParagraph"/>
        <w:numPr>
          <w:ilvl w:val="0"/>
          <w:numId w:val="2"/>
        </w:numPr>
        <w:spacing w:after="60" w:before="40" w:line="290"/>
      </w:pPr>
      <w:r>
        <w:rPr>
          <w:rFonts w:ascii="Lato" w:cs="Lato" w:eastAsia="Lato" w:hAnsi="Lato"/>
          <w:b/>
          <w:bCs/>
          <w:color w:val="173F35"/>
          <w:sz w:val="22"/>
          <w:szCs w:val="22"/>
        </w:rPr>
        <w:t xml:space="preserve">Vendor Services Agreement (Tier 1/2) Adoption-Ready Template  </w:t>
      </w:r>
      <w:r>
        <w:rPr>
          <w:rFonts w:ascii="Lato" w:cs="Lato" w:eastAsia="Lato" w:hAnsi="Lato"/>
          <w:color w:val="1A1A1A"/>
          <w:sz w:val="22"/>
          <w:szCs w:val="22"/>
        </w:rPr>
        <w:t xml:space="preserve">— the document this guide accompanies.</w:t>
      </w:r>
    </w:p>
    <w:p>
      <w:pPr>
        <w:pStyle w:val="ListParagraph"/>
        <w:numPr>
          <w:ilvl w:val="0"/>
          <w:numId w:val="2"/>
        </w:numPr>
        <w:spacing w:after="60" w:before="40" w:line="290"/>
      </w:pPr>
      <w:r>
        <w:rPr>
          <w:rFonts w:ascii="Lato" w:cs="Lato" w:eastAsia="Lato" w:hAnsi="Lato"/>
          <w:b/>
          <w:bCs/>
          <w:color w:val="173F35"/>
          <w:sz w:val="22"/>
          <w:szCs w:val="22"/>
        </w:rPr>
        <w:t xml:space="preserve">RFP Tier 1/2 Adoption-Ready Template  </w:t>
      </w:r>
      <w:r>
        <w:rPr>
          <w:rFonts w:ascii="Lato" w:cs="Lato" w:eastAsia="Lato" w:hAnsi="Lato"/>
          <w:color w:val="1A1A1A"/>
          <w:sz w:val="22"/>
          <w:szCs w:val="22"/>
        </w:rPr>
        <w:t xml:space="preserve">— the solicitation that produced the award now being contracted.</w:t>
      </w:r>
    </w:p>
    <w:p>
      <w:pPr>
        <w:pStyle w:val="ListParagraph"/>
        <w:numPr>
          <w:ilvl w:val="0"/>
          <w:numId w:val="2"/>
        </w:numPr>
        <w:spacing w:after="60" w:before="40" w:line="290"/>
      </w:pPr>
      <w:r>
        <w:rPr>
          <w:rFonts w:ascii="Lato" w:cs="Lato" w:eastAsia="Lato" w:hAnsi="Lato"/>
          <w:b/>
          <w:bCs/>
          <w:color w:val="173F35"/>
          <w:sz w:val="22"/>
          <w:szCs w:val="22"/>
        </w:rPr>
        <w:t xml:space="preserve">Comparative Proposal Evaluation Worksheet  </w:t>
      </w:r>
      <w:r>
        <w:rPr>
          <w:rFonts w:ascii="Lato" w:cs="Lato" w:eastAsia="Lato" w:hAnsi="Lato"/>
          <w:color w:val="1A1A1A"/>
          <w:sz w:val="22"/>
          <w:szCs w:val="22"/>
        </w:rPr>
        <w:t xml:space="preserve">— the scoring tool that produced the award memo.</w:t>
      </w:r>
    </w:p>
    <w:p>
      <w:pPr>
        <w:pStyle w:val="ListParagraph"/>
        <w:numPr>
          <w:ilvl w:val="0"/>
          <w:numId w:val="2"/>
        </w:numPr>
        <w:spacing w:after="60" w:before="40" w:line="290"/>
      </w:pPr>
      <w:r>
        <w:rPr>
          <w:rFonts w:ascii="Lato" w:cs="Lato" w:eastAsia="Lato" w:hAnsi="Lato"/>
          <w:b/>
          <w:bCs/>
          <w:color w:val="173F35"/>
          <w:sz w:val="22"/>
          <w:szCs w:val="22"/>
        </w:rPr>
        <w:t xml:space="preserve">Standalone Sample Drafts  </w:t>
      </w:r>
      <w:r>
        <w:rPr>
          <w:rFonts w:ascii="Lato" w:cs="Lato" w:eastAsia="Lato" w:hAnsi="Lato"/>
          <w:color w:val="1A1A1A"/>
          <w:sz w:val="22"/>
          <w:szCs w:val="22"/>
        </w:rPr>
        <w:t xml:space="preserve">— populated example contracts for landscape (Texas) and pool &amp; spa (Florida).</w:t>
      </w:r>
    </w:p>
    <w:p>
      <w:pPr>
        <w:pStyle w:val="ListParagraph"/>
        <w:numPr>
          <w:ilvl w:val="0"/>
          <w:numId w:val="2"/>
        </w:numPr>
        <w:spacing w:after="60" w:before="40" w:line="290"/>
      </w:pPr>
      <w:r>
        <w:rPr>
          <w:rFonts w:ascii="Lato" w:cs="Lato" w:eastAsia="Lato" w:hAnsi="Lato"/>
          <w:b/>
          <w:bCs/>
          <w:color w:val="173F35"/>
          <w:sz w:val="22"/>
          <w:szCs w:val="22"/>
        </w:rPr>
        <w:t xml:space="preserve">Board Code of Ethics — Article 7 (Vendor Relations)  </w:t>
      </w:r>
      <w:r>
        <w:rPr>
          <w:rFonts w:ascii="Lato" w:cs="Lato" w:eastAsia="Lato" w:hAnsi="Lato"/>
          <w:color w:val="1A1A1A"/>
          <w:sz w:val="22"/>
          <w:szCs w:val="22"/>
        </w:rPr>
        <w:t xml:space="preserve">— governs director conduct during the contract term.</w:t>
      </w:r>
    </w:p>
    <w:p>
      <w:pPr>
        <w:pStyle w:val="ListParagraph"/>
        <w:numPr>
          <w:ilvl w:val="0"/>
          <w:numId w:val="2"/>
        </w:numPr>
        <w:spacing w:after="60" w:before="40" w:line="290"/>
      </w:pPr>
      <w:r>
        <w:rPr>
          <w:rFonts w:ascii="Lato" w:cs="Lato" w:eastAsia="Lato" w:hAnsi="Lato"/>
          <w:b/>
          <w:bCs/>
          <w:color w:val="173F35"/>
          <w:sz w:val="22"/>
          <w:szCs w:val="22"/>
        </w:rPr>
        <w:t xml:space="preserve">Annual Operations Calendar  </w:t>
      </w:r>
      <w:r>
        <w:rPr>
          <w:rFonts w:ascii="Lato" w:cs="Lato" w:eastAsia="Lato" w:hAnsi="Lato"/>
          <w:color w:val="1A1A1A"/>
          <w:sz w:val="22"/>
          <w:szCs w:val="22"/>
        </w:rPr>
        <w:t xml:space="preserve">— anchors the rebid cycle for routine vendor contracts.</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BECOME A CIC-SC MEMBER</w:t>
            </w:r>
          </w:p>
          <w:p>
            <w:pPr>
              <w:spacing w:after="0" w:before="0" w:line="300"/>
              <w:jc w:val="left"/>
            </w:pPr>
            <w:r>
              <w:rPr>
                <w:rFonts w:ascii="Lato" w:cs="Lato" w:eastAsia="Lato" w:hAnsi="Lato"/>
                <w:color w:val="1A1A1A"/>
                <w:sz w:val="22"/>
                <w:szCs w:val="22"/>
              </w:rPr>
              <w:t xml:space="preserve">Members get full access to the CIC-SC governance and operations library, including the Tier 3–4 Vendor Contract Template for capital projects and management contracts, quarterly state-specific legislative updates, and live training. Visit CIC-SC.org/membership to join.</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Vendor Services Agreement (Tier 1/2)  •  Educational Guide</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Vendor Services Agreement — Educational Guide</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Services Agreement (Tier 1/2) — Educational Guide</dc:title>
  <dc:creator>Common Interest Community Standards Council (CIC-SC)</dc:creator>
  <dc:description>CIC-SC Vendor Management Toolkit — companion guide.</dc:description>
  <cp:lastModifiedBy>Un-named</cp:lastModifiedBy>
  <cp:revision>1</cp:revision>
  <dcterms:created xsi:type="dcterms:W3CDTF">2026-05-10T21:49:24.253Z</dcterms:created>
  <dcterms:modified xsi:type="dcterms:W3CDTF">2026-05-10T21:49:24.254Z</dcterms:modified>
</cp:coreProperties>
</file>

<file path=docProps/custom.xml><?xml version="1.0" encoding="utf-8"?>
<Properties xmlns="http://schemas.openxmlformats.org/officeDocument/2006/custom-properties" xmlns:vt="http://schemas.openxmlformats.org/officeDocument/2006/docPropsVTypes"/>
</file>