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Texas Meetings &amp; Governance  /  Volume 05 / Board Meeting Agenda</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Board Meeting</w:t>
      </w:r>
    </w:p>
    <w:p>
      <w:pPr>
        <w:spacing w:after="240" w:before="0"/>
        <w:jc w:val="left"/>
      </w:pPr>
      <w:r>
        <w:rPr>
          <w:rFonts w:ascii="Garamond" w:cs="Garamond" w:eastAsia="Garamond" w:hAnsi="Garamond"/>
          <w:i/>
          <w:iCs/>
          <w:color w:val="173F35"/>
          <w:sz w:val="60"/>
          <w:szCs w:val="60"/>
        </w:rPr>
        <w:t xml:space="preserve">Agenda</w:t>
      </w:r>
    </w:p>
    <w:p>
      <w:pPr>
        <w:spacing w:after="1200" w:before="80"/>
        <w:jc w:val="left"/>
      </w:pPr>
      <w:r>
        <w:rPr>
          <w:rFonts w:ascii="Lato" w:cs="Lato" w:eastAsia="Lato" w:hAnsi="Lato"/>
          <w:color w:val="1A1A1A"/>
          <w:sz w:val="24"/>
          <w:szCs w:val="24"/>
        </w:rPr>
        <w:t xml:space="preserve">Texas HOA / POA and condominium board meeting agenda template — open session, owner forum, reports, action items, executive session structure.</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Agenda Template  •  HOA + Condominium  •  Texas</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Committees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Meeting Notice Templates  •  Board Meeting Minutes  •  Texas Meeting Compliance Article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ABOUT THIS AGENDA TEMPLATE</w:t>
            </w:r>
          </w:p>
          <w:p>
            <w:pPr>
              <w:pStyle w:val="ListParagraph"/>
              <w:numPr>
                <w:ilvl w:val="0"/>
                <w:numId w:val="2"/>
              </w:numPr>
              <w:spacing w:after="60" w:before="40" w:line="290"/>
            </w:pPr>
            <w:r>
              <w:rPr>
                <w:rFonts w:ascii="Lato" w:cs="Lato" w:eastAsia="Lato" w:hAnsi="Lato"/>
                <w:color w:val="1A1A1A"/>
                <w:sz w:val="22"/>
                <w:szCs w:val="22"/>
              </w:rPr>
              <w:t xml:space="preserve">Adapt the structure to fit your community's bylaws and meeting style.</w:t>
            </w:r>
          </w:p>
          <w:p>
            <w:pPr>
              <w:pStyle w:val="ListParagraph"/>
              <w:numPr>
                <w:ilvl w:val="0"/>
                <w:numId w:val="2"/>
              </w:numPr>
              <w:spacing w:after="60" w:before="40" w:line="290"/>
            </w:pPr>
            <w:r>
              <w:rPr>
                <w:rFonts w:ascii="Lato" w:cs="Lato" w:eastAsia="Lato" w:hAnsi="Lato"/>
                <w:color w:val="1A1A1A"/>
                <w:sz w:val="22"/>
                <w:szCs w:val="22"/>
              </w:rPr>
              <w:t xml:space="preserve">Mark executive session items clearly so the meeting notice can reference them by general subject.</w:t>
            </w:r>
          </w:p>
          <w:p>
            <w:pPr>
              <w:pStyle w:val="ListParagraph"/>
              <w:numPr>
                <w:ilvl w:val="0"/>
                <w:numId w:val="2"/>
              </w:numPr>
              <w:spacing w:after="60" w:before="40" w:line="290"/>
            </w:pPr>
            <w:r>
              <w:rPr>
                <w:rFonts w:ascii="Lato" w:cs="Lato" w:eastAsia="Lato" w:hAnsi="Lato"/>
                <w:color w:val="1A1A1A"/>
                <w:sz w:val="22"/>
                <w:szCs w:val="22"/>
              </w:rPr>
              <w:t xml:space="preserve">Pre-circulate this agenda to the Board with the meeting packet (≥ 3 days before).</w:t>
            </w:r>
          </w:p>
          <w:p>
            <w:pPr>
              <w:pStyle w:val="ListParagraph"/>
              <w:numPr>
                <w:ilvl w:val="0"/>
                <w:numId w:val="2"/>
              </w:numPr>
              <w:spacing w:after="60" w:before="40" w:line="290"/>
            </w:pPr>
            <w:r>
              <w:rPr>
                <w:rFonts w:ascii="Lato" w:cs="Lato" w:eastAsia="Lato" w:hAnsi="Lato"/>
                <w:color w:val="1A1A1A"/>
                <w:sz w:val="22"/>
                <w:szCs w:val="22"/>
              </w:rPr>
              <w:t xml:space="preserve">Pair with the CIC-SC Board Meeting Minutes template; the agenda and minutes share the same item structure.</w:t>
            </w:r>
          </w:p>
        </w:tc>
      </w:tr>
    </w:tbl>
    <w:p>
      <w:r>
        <w:br w:type="page"/>
      </w:r>
    </w:p>
    <w:p>
      <w:pPr>
        <w:spacing w:after="60" w:before="0"/>
      </w:pPr>
      <w:r>
        <w:rPr>
          <w:rFonts w:ascii="Lato" w:cs="Lato" w:eastAsia="Lato" w:hAnsi="Lato"/>
          <w:b/>
          <w:bCs/>
          <w:color w:val="C9A24A"/>
          <w:spacing w:val="100"/>
          <w:sz w:val="16"/>
          <w:szCs w:val="16"/>
        </w:rPr>
        <w:t xml:space="preserve">BOARD MEETING AGENDA</w:t>
      </w:r>
    </w:p>
    <w:p>
      <w:pPr>
        <w:pStyle w:val="Heading1"/>
        <w:spacing w:after="160" w:before="280"/>
      </w:pPr>
      <w:r>
        <w:rPr>
          <w:rFonts w:ascii="Garamond" w:cs="Garamond" w:eastAsia="Garamond" w:hAnsi="Garamond"/>
          <w:b/>
          <w:bCs/>
          <w:color w:val="173F35"/>
          <w:sz w:val="40"/>
          <w:szCs w:val="40"/>
        </w:rPr>
        <w:t xml:space="preserve">[Association Name]</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[Regular  /  Special  /  Annual]</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Date / Time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[Day, Month DD, YYYY  •  H:MM AM/PM]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[Address / Virtual link]</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Quorum Required (Board)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 of Directors]</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Open Session</w:t>
      </w:r>
    </w:p>
    <w:p>
      <w:pPr>
        <w:pBdr>
          <w:bottom w:val="single" w:color="C9A24A" w:sz="8" w:space="1"/>
        </w:pBdr>
        <w:spacing w:after="120" w:before="80"/>
      </w:pPr>
      <w:r>
        <w:t xml:space="preserve"/>
      </w:r>
    </w:p>
    <w:p>
      <w:pPr>
        <w:spacing w:after="60" w:before="200"/>
      </w:pPr>
      <w:r>
        <w:rPr>
          <w:rFonts w:ascii="Lato" w:cs="Lato" w:eastAsia="Lato" w:hAnsi="Lato"/>
          <w:b/>
          <w:bCs/>
          <w:color w:val="173F35"/>
          <w:sz w:val="24"/>
          <w:szCs w:val="24"/>
        </w:rPr>
        <w:t xml:space="preserve">1.  </w:t>
      </w:r>
      <w:r>
        <w:rPr>
          <w:rFonts w:ascii="Garamond" w:cs="Garamond" w:eastAsia="Garamond" w:hAnsi="Garamond"/>
          <w:b/>
          <w:bCs/>
          <w:color w:val="173F35"/>
          <w:sz w:val="26"/>
          <w:szCs w:val="26"/>
        </w:rPr>
        <w:t xml:space="preserve">Call to Order</w:t>
      </w:r>
      <w:r>
        <w:t xml:space="preserve"/>
      </w:r>
    </w:p>
    <w:p>
      <w:pPr>
        <w:spacing w:after="0" w:before="0" w:line="300"/>
        <w:ind w:left="360"/>
        <w:jc w:val="left"/>
      </w:pPr>
      <w:r>
        <w:rPr>
          <w:rFonts w:ascii="Lato" w:cs="Lato" w:eastAsia="Lato" w:hAnsi="Lato"/>
          <w:color w:val="1A1A1A"/>
          <w:sz w:val="22"/>
          <w:szCs w:val="22"/>
        </w:rPr>
        <w:t xml:space="preserve">Confirm director quorum; note attendance; record time of call to order.</w:t>
      </w:r>
    </w:p>
    <w:p>
      <w:pPr>
        <w:spacing w:after="60" w:before="200"/>
      </w:pPr>
      <w:r>
        <w:rPr>
          <w:rFonts w:ascii="Lato" w:cs="Lato" w:eastAsia="Lato" w:hAnsi="Lato"/>
          <w:b/>
          <w:bCs/>
          <w:color w:val="173F35"/>
          <w:sz w:val="24"/>
          <w:szCs w:val="24"/>
        </w:rPr>
        <w:t xml:space="preserve">2.  </w:t>
      </w:r>
      <w:r>
        <w:rPr>
          <w:rFonts w:ascii="Garamond" w:cs="Garamond" w:eastAsia="Garamond" w:hAnsi="Garamond"/>
          <w:b/>
          <w:bCs/>
          <w:color w:val="173F35"/>
          <w:sz w:val="26"/>
          <w:szCs w:val="26"/>
        </w:rPr>
        <w:t xml:space="preserve">Approval of Prior Minutes</w:t>
      </w:r>
      <w:r>
        <w:t xml:space="preserve"/>
      </w:r>
    </w:p>
    <w:p>
      <w:pPr>
        <w:spacing w:after="0" w:before="0" w:line="300"/>
        <w:ind w:left="360"/>
        <w:jc w:val="left"/>
      </w:pPr>
      <w:r>
        <w:rPr>
          <w:rFonts w:ascii="Lato" w:cs="Lato" w:eastAsia="Lato" w:hAnsi="Lato"/>
          <w:color w:val="1A1A1A"/>
          <w:sz w:val="22"/>
          <w:szCs w:val="22"/>
        </w:rPr>
        <w:t xml:space="preserve">Review and approve minutes of the [date] regular / special board meeting and any executive session ratifications.</w:t>
      </w:r>
    </w:p>
    <w:p>
      <w:pPr>
        <w:spacing w:after="60" w:before="200"/>
      </w:pPr>
      <w:r>
        <w:rPr>
          <w:rFonts w:ascii="Lato" w:cs="Lato" w:eastAsia="Lato" w:hAnsi="Lato"/>
          <w:b/>
          <w:bCs/>
          <w:color w:val="173F35"/>
          <w:sz w:val="24"/>
          <w:szCs w:val="24"/>
        </w:rPr>
        <w:t xml:space="preserve">3.  </w:t>
      </w:r>
      <w:r>
        <w:rPr>
          <w:rFonts w:ascii="Garamond" w:cs="Garamond" w:eastAsia="Garamond" w:hAnsi="Garamond"/>
          <w:b/>
          <w:bCs/>
          <w:color w:val="173F35"/>
          <w:sz w:val="26"/>
          <w:szCs w:val="26"/>
        </w:rPr>
        <w:t xml:space="preserve">Owner Forum / Open Comment</w:t>
      </w:r>
      <w:r>
        <w:t xml:space="preserve"/>
      </w:r>
    </w:p>
    <w:p>
      <w:pPr>
        <w:spacing w:after="0" w:before="0" w:line="300"/>
        <w:ind w:left="360"/>
        <w:jc w:val="left"/>
      </w:pPr>
      <w:r>
        <w:rPr>
          <w:rFonts w:ascii="Lato" w:cs="Lato" w:eastAsia="Lato" w:hAnsi="Lato"/>
          <w:color w:val="1A1A1A"/>
          <w:sz w:val="22"/>
          <w:szCs w:val="22"/>
        </w:rPr>
        <w:t xml:space="preserve">Time-limited owner comment period per the Association's meeting rules. Sign-in required; comments noted in minutes.</w:t>
      </w:r>
    </w:p>
    <w:p>
      <w:pPr>
        <w:spacing w:after="60" w:before="200"/>
      </w:pPr>
      <w:r>
        <w:rPr>
          <w:rFonts w:ascii="Lato" w:cs="Lato" w:eastAsia="Lato" w:hAnsi="Lato"/>
          <w:b/>
          <w:bCs/>
          <w:color w:val="173F35"/>
          <w:sz w:val="24"/>
          <w:szCs w:val="24"/>
        </w:rPr>
        <w:t xml:space="preserve">4.  </w:t>
      </w:r>
      <w:r>
        <w:rPr>
          <w:rFonts w:ascii="Garamond" w:cs="Garamond" w:eastAsia="Garamond" w:hAnsi="Garamond"/>
          <w:b/>
          <w:bCs/>
          <w:color w:val="173F35"/>
          <w:sz w:val="26"/>
          <w:szCs w:val="26"/>
        </w:rPr>
        <w:t xml:space="preserve">Treasurer / Financial Report</w:t>
      </w:r>
      <w:r>
        <w:t xml:space="preserve"/>
      </w:r>
    </w:p>
    <w:p>
      <w:pPr>
        <w:spacing w:after="0" w:before="0" w:line="300"/>
        <w:ind w:left="360"/>
        <w:jc w:val="left"/>
      </w:pPr>
      <w:r>
        <w:rPr>
          <w:rFonts w:ascii="Lato" w:cs="Lato" w:eastAsia="Lato" w:hAnsi="Lato"/>
          <w:color w:val="1A1A1A"/>
          <w:sz w:val="22"/>
          <w:szCs w:val="22"/>
        </w:rPr>
        <w:t xml:space="preserve">Review financial statements, budget variance, delinquencies, reserve status. Approve any required transfers or write-offs.</w:t>
      </w:r>
    </w:p>
    <w:p>
      <w:pPr>
        <w:spacing w:after="60" w:before="200"/>
      </w:pPr>
      <w:r>
        <w:rPr>
          <w:rFonts w:ascii="Lato" w:cs="Lato" w:eastAsia="Lato" w:hAnsi="Lato"/>
          <w:b/>
          <w:bCs/>
          <w:color w:val="173F35"/>
          <w:sz w:val="24"/>
          <w:szCs w:val="24"/>
        </w:rPr>
        <w:t xml:space="preserve">5.  </w:t>
      </w:r>
      <w:r>
        <w:rPr>
          <w:rFonts w:ascii="Garamond" w:cs="Garamond" w:eastAsia="Garamond" w:hAnsi="Garamond"/>
          <w:b/>
          <w:bCs/>
          <w:color w:val="173F35"/>
          <w:sz w:val="26"/>
          <w:szCs w:val="26"/>
        </w:rPr>
        <w:t xml:space="preserve">Manager's Report</w:t>
      </w:r>
      <w:r>
        <w:t xml:space="preserve"/>
      </w:r>
    </w:p>
    <w:p>
      <w:pPr>
        <w:spacing w:after="0" w:before="0" w:line="300"/>
        <w:ind w:left="360"/>
        <w:jc w:val="left"/>
      </w:pPr>
      <w:r>
        <w:rPr>
          <w:rFonts w:ascii="Lato" w:cs="Lato" w:eastAsia="Lato" w:hAnsi="Lato"/>
          <w:color w:val="1A1A1A"/>
          <w:sz w:val="22"/>
          <w:szCs w:val="22"/>
        </w:rPr>
        <w:t xml:space="preserve">Operations update, violations summary, ACC activity, project updates, owner communications, vendor coordination, maintenance items.</w:t>
      </w:r>
    </w:p>
    <w:p>
      <w:pPr>
        <w:spacing w:after="60" w:before="200"/>
      </w:pPr>
      <w:r>
        <w:rPr>
          <w:rFonts w:ascii="Lato" w:cs="Lato" w:eastAsia="Lato" w:hAnsi="Lato"/>
          <w:b/>
          <w:bCs/>
          <w:color w:val="173F35"/>
          <w:sz w:val="24"/>
          <w:szCs w:val="24"/>
        </w:rPr>
        <w:t xml:space="preserve">6.  </w:t>
      </w:r>
      <w:r>
        <w:rPr>
          <w:rFonts w:ascii="Garamond" w:cs="Garamond" w:eastAsia="Garamond" w:hAnsi="Garamond"/>
          <w:b/>
          <w:bCs/>
          <w:color w:val="173F35"/>
          <w:sz w:val="26"/>
          <w:szCs w:val="26"/>
        </w:rPr>
        <w:t xml:space="preserve">Committee Reports</w:t>
      </w:r>
      <w:r>
        <w:t xml:space="preserve"/>
      </w:r>
    </w:p>
    <w:p>
      <w:pPr>
        <w:spacing w:after="0" w:before="0" w:line="300"/>
        <w:ind w:left="360"/>
        <w:jc w:val="left"/>
      </w:pPr>
      <w:r>
        <w:rPr>
          <w:rFonts w:ascii="Lato" w:cs="Lato" w:eastAsia="Lato" w:hAnsi="Lato"/>
          <w:color w:val="1A1A1A"/>
          <w:sz w:val="22"/>
          <w:szCs w:val="22"/>
        </w:rPr>
        <w:t xml:space="preserve">Reports from standing and ad hoc committees (architectural, social, landscape, finance, etc.).</w:t>
      </w:r>
    </w:p>
    <w:p>
      <w:pPr>
        <w:spacing w:after="60" w:before="200"/>
      </w:pPr>
      <w:r>
        <w:rPr>
          <w:rFonts w:ascii="Lato" w:cs="Lato" w:eastAsia="Lato" w:hAnsi="Lato"/>
          <w:b/>
          <w:bCs/>
          <w:color w:val="173F35"/>
          <w:sz w:val="24"/>
          <w:szCs w:val="24"/>
        </w:rPr>
        <w:t xml:space="preserve">7.  </w:t>
      </w:r>
      <w:r>
        <w:rPr>
          <w:rFonts w:ascii="Garamond" w:cs="Garamond" w:eastAsia="Garamond" w:hAnsi="Garamond"/>
          <w:b/>
          <w:bCs/>
          <w:color w:val="173F35"/>
          <w:sz w:val="26"/>
          <w:szCs w:val="26"/>
        </w:rPr>
        <w:t xml:space="preserve">Unfinished Business</w:t>
      </w:r>
      <w:r>
        <w:t xml:space="preserve"/>
      </w:r>
    </w:p>
    <w:p>
      <w:pPr>
        <w:spacing w:after="0" w:before="0" w:line="300"/>
        <w:ind w:left="360"/>
        <w:jc w:val="left"/>
      </w:pPr>
      <w:r>
        <w:rPr>
          <w:rFonts w:ascii="Lato" w:cs="Lato" w:eastAsia="Lato" w:hAnsi="Lato"/>
          <w:color w:val="1A1A1A"/>
          <w:sz w:val="22"/>
          <w:szCs w:val="22"/>
        </w:rPr>
        <w:t xml:space="preserve">Action items carried forward from prior meetings; status update; vote where required.</w:t>
      </w:r>
    </w:p>
    <w:p>
      <w:pPr>
        <w:spacing w:after="60" w:before="200"/>
      </w:pPr>
      <w:r>
        <w:rPr>
          <w:rFonts w:ascii="Lato" w:cs="Lato" w:eastAsia="Lato" w:hAnsi="Lato"/>
          <w:b/>
          <w:bCs/>
          <w:color w:val="173F35"/>
          <w:sz w:val="24"/>
          <w:szCs w:val="24"/>
        </w:rPr>
        <w:t xml:space="preserve">8.  </w:t>
      </w:r>
      <w:r>
        <w:rPr>
          <w:rFonts w:ascii="Garamond" w:cs="Garamond" w:eastAsia="Garamond" w:hAnsi="Garamond"/>
          <w:b/>
          <w:bCs/>
          <w:color w:val="173F35"/>
          <w:sz w:val="26"/>
          <w:szCs w:val="26"/>
        </w:rPr>
        <w:t xml:space="preserve">New Business</w:t>
      </w:r>
      <w:r>
        <w:t xml:space="preserve"/>
      </w:r>
    </w:p>
    <w:p>
      <w:pPr>
        <w:spacing w:after="0" w:before="0" w:line="300"/>
        <w:ind w:left="360"/>
        <w:jc w:val="left"/>
      </w:pPr>
      <w:r>
        <w:rPr>
          <w:rFonts w:ascii="Lato" w:cs="Lato" w:eastAsia="Lato" w:hAnsi="Lato"/>
          <w:color w:val="1A1A1A"/>
          <w:sz w:val="22"/>
          <w:szCs w:val="22"/>
        </w:rPr>
        <w:t xml:space="preserve">Items presented for Board consideration with motion / discussion / vote.</w:t>
      </w:r>
    </w:p>
    <w:p>
      <w:pPr>
        <w:spacing w:after="60" w:before="200"/>
      </w:pPr>
      <w:r>
        <w:rPr>
          <w:rFonts w:ascii="Lato" w:cs="Lato" w:eastAsia="Lato" w:hAnsi="Lato"/>
          <w:b/>
          <w:bCs/>
          <w:color w:val="173F35"/>
          <w:sz w:val="24"/>
          <w:szCs w:val="24"/>
        </w:rPr>
        <w:t xml:space="preserve">9.  </w:t>
      </w:r>
      <w:r>
        <w:rPr>
          <w:rFonts w:ascii="Garamond" w:cs="Garamond" w:eastAsia="Garamond" w:hAnsi="Garamond"/>
          <w:b/>
          <w:bCs/>
          <w:color w:val="173F35"/>
          <w:sz w:val="26"/>
          <w:szCs w:val="26"/>
        </w:rPr>
        <w:t xml:space="preserve">Owner Comments on Action Items (optional)</w:t>
      </w:r>
      <w:r>
        <w:t xml:space="preserve"/>
      </w:r>
    </w:p>
    <w:p>
      <w:pPr>
        <w:spacing w:after="0" w:before="0" w:line="300"/>
        <w:ind w:left="360"/>
        <w:jc w:val="left"/>
      </w:pPr>
      <w:r>
        <w:rPr>
          <w:rFonts w:ascii="Lato" w:cs="Lato" w:eastAsia="Lato" w:hAnsi="Lato"/>
          <w:color w:val="1A1A1A"/>
          <w:sz w:val="22"/>
          <w:szCs w:val="22"/>
        </w:rPr>
        <w:t xml:space="preserve">Brief additional owner input on specific action items if the Board elects to permit.</w:t>
      </w:r>
    </w:p>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Executive Session</w:t>
      </w:r>
    </w:p>
    <w:p>
      <w:pPr>
        <w:pBdr>
          <w:bottom w:val="single" w:color="C9A24A" w:sz="8" w:space="1"/>
        </w:pBdr>
        <w:spacing w:after="120" w:before="80"/>
      </w:pPr>
      <w:r>
        <w:t xml:space="preserve"/>
      </w:r>
    </w:p>
    <w:p>
      <w:pPr>
        <w:spacing w:after="200" w:before="0" w:line="320"/>
        <w:jc w:val="left"/>
      </w:pPr>
      <w:r>
        <w:rPr>
          <w:rFonts w:ascii="Lato" w:cs="Lato" w:eastAsia="Lato" w:hAnsi="Lato"/>
          <w:i/>
          <w:iCs/>
          <w:color w:val="5C5C5C"/>
          <w:sz w:val="22"/>
          <w:szCs w:val="22"/>
        </w:rPr>
        <w:t xml:space="preserve">The Board may adjourn into executive session to consider matters authorized by Tex. Prop. Code § 209.0051 (HOA) / § 82.108 (condominium): personnel, pending or anticipated litigation, contract negotiations, enforcement actions, matters involving the invasion of privacy of individual owners, and matters required to be confidential by request of the affected parties and agreement of the board. Executive session minutes are maintained separately.</w:t>
      </w:r>
    </w:p>
    <w:p>
      <w:pPr>
        <w:spacing w:after="60" w:before="200"/>
      </w:pPr>
      <w:r>
        <w:rPr>
          <w:rFonts w:ascii="Lato" w:cs="Lato" w:eastAsia="Lato" w:hAnsi="Lato"/>
          <w:b/>
          <w:bCs/>
          <w:color w:val="173F35"/>
          <w:sz w:val="24"/>
          <w:szCs w:val="24"/>
        </w:rPr>
        <w:t xml:space="preserve">10.  </w:t>
      </w:r>
      <w:r>
        <w:rPr>
          <w:rFonts w:ascii="Garamond" w:cs="Garamond" w:eastAsia="Garamond" w:hAnsi="Garamond"/>
          <w:b/>
          <w:bCs/>
          <w:color w:val="173F35"/>
          <w:sz w:val="26"/>
          <w:szCs w:val="26"/>
        </w:rPr>
        <w:t xml:space="preserve">[Personnel Matter]</w:t>
      </w:r>
      <w:r>
        <w:rPr>
          <w:rFonts w:ascii="Lato" w:cs="Lato" w:eastAsia="Lato" w:hAnsi="Lato"/>
          <w:b/>
          <w:bCs/>
          <w:color w:val="C9A24A"/>
          <w:sz w:val="18"/>
          <w:szCs w:val="18"/>
        </w:rPr>
        <w:t xml:space="preserve">   [EXECUTIVE SESSION]</w:t>
      </w:r>
    </w:p>
    <w:p>
      <w:pPr>
        <w:spacing w:after="0" w:before="0" w:line="300"/>
        <w:ind w:left="360"/>
        <w:jc w:val="left"/>
      </w:pPr>
      <w:r>
        <w:rPr>
          <w:rFonts w:ascii="Lato" w:cs="Lato" w:eastAsia="Lato" w:hAnsi="Lato"/>
          <w:color w:val="1A1A1A"/>
          <w:sz w:val="22"/>
          <w:szCs w:val="22"/>
        </w:rPr>
        <w:t xml:space="preserve">(General subject reference for executive session notice.)</w:t>
      </w:r>
    </w:p>
    <w:p>
      <w:pPr>
        <w:spacing w:after="60" w:before="200"/>
      </w:pPr>
      <w:r>
        <w:rPr>
          <w:rFonts w:ascii="Lato" w:cs="Lato" w:eastAsia="Lato" w:hAnsi="Lato"/>
          <w:b/>
          <w:bCs/>
          <w:color w:val="173F35"/>
          <w:sz w:val="24"/>
          <w:szCs w:val="24"/>
        </w:rPr>
        <w:t xml:space="preserve">11.  </w:t>
      </w:r>
      <w:r>
        <w:rPr>
          <w:rFonts w:ascii="Garamond" w:cs="Garamond" w:eastAsia="Garamond" w:hAnsi="Garamond"/>
          <w:b/>
          <w:bCs/>
          <w:color w:val="173F35"/>
          <w:sz w:val="26"/>
          <w:szCs w:val="26"/>
        </w:rPr>
        <w:t xml:space="preserve">[Pending Litigation]</w:t>
      </w:r>
      <w:r>
        <w:rPr>
          <w:rFonts w:ascii="Lato" w:cs="Lato" w:eastAsia="Lato" w:hAnsi="Lato"/>
          <w:b/>
          <w:bCs/>
          <w:color w:val="C9A24A"/>
          <w:sz w:val="18"/>
          <w:szCs w:val="18"/>
        </w:rPr>
        <w:t xml:space="preserve">   [EXECUTIVE SESSION]</w:t>
      </w:r>
    </w:p>
    <w:p>
      <w:pPr>
        <w:spacing w:after="0" w:before="0" w:line="300"/>
        <w:ind w:left="360"/>
        <w:jc w:val="left"/>
      </w:pPr>
      <w:r>
        <w:rPr>
          <w:rFonts w:ascii="Lato" w:cs="Lato" w:eastAsia="Lato" w:hAnsi="Lato"/>
          <w:color w:val="1A1A1A"/>
          <w:sz w:val="22"/>
          <w:szCs w:val="22"/>
        </w:rPr>
        <w:t xml:space="preserve">(General subject reference for executive session notice.)</w:t>
      </w:r>
    </w:p>
    <w:p>
      <w:pPr>
        <w:spacing w:after="60" w:before="200"/>
      </w:pPr>
      <w:r>
        <w:rPr>
          <w:rFonts w:ascii="Lato" w:cs="Lato" w:eastAsia="Lato" w:hAnsi="Lato"/>
          <w:b/>
          <w:bCs/>
          <w:color w:val="173F35"/>
          <w:sz w:val="24"/>
          <w:szCs w:val="24"/>
        </w:rPr>
        <w:t xml:space="preserve">12.  </w:t>
      </w:r>
      <w:r>
        <w:rPr>
          <w:rFonts w:ascii="Garamond" w:cs="Garamond" w:eastAsia="Garamond" w:hAnsi="Garamond"/>
          <w:b/>
          <w:bCs/>
          <w:color w:val="173F35"/>
          <w:sz w:val="26"/>
          <w:szCs w:val="26"/>
        </w:rPr>
        <w:t xml:space="preserve">[Contract Negotiation]</w:t>
      </w:r>
      <w:r>
        <w:rPr>
          <w:rFonts w:ascii="Lato" w:cs="Lato" w:eastAsia="Lato" w:hAnsi="Lato"/>
          <w:b/>
          <w:bCs/>
          <w:color w:val="C9A24A"/>
          <w:sz w:val="18"/>
          <w:szCs w:val="18"/>
        </w:rPr>
        <w:t xml:space="preserve">   [EXECUTIVE SESSION]</w:t>
      </w:r>
    </w:p>
    <w:p>
      <w:pPr>
        <w:spacing w:after="0" w:before="0" w:line="300"/>
        <w:ind w:left="360"/>
        <w:jc w:val="left"/>
      </w:pPr>
      <w:r>
        <w:rPr>
          <w:rFonts w:ascii="Lato" w:cs="Lato" w:eastAsia="Lato" w:hAnsi="Lato"/>
          <w:color w:val="1A1A1A"/>
          <w:sz w:val="22"/>
          <w:szCs w:val="22"/>
        </w:rPr>
        <w:t xml:space="preserve">(General subject reference for executive session notice.)</w:t>
      </w:r>
    </w:p>
    <w:p>
      <w:pPr>
        <w:spacing w:after="60" w:before="200"/>
      </w:pPr>
      <w:r>
        <w:rPr>
          <w:rFonts w:ascii="Lato" w:cs="Lato" w:eastAsia="Lato" w:hAnsi="Lato"/>
          <w:b/>
          <w:bCs/>
          <w:color w:val="173F35"/>
          <w:sz w:val="24"/>
          <w:szCs w:val="24"/>
        </w:rPr>
        <w:t xml:space="preserve">13.  </w:t>
      </w:r>
      <w:r>
        <w:rPr>
          <w:rFonts w:ascii="Garamond" w:cs="Garamond" w:eastAsia="Garamond" w:hAnsi="Garamond"/>
          <w:b/>
          <w:bCs/>
          <w:color w:val="173F35"/>
          <w:sz w:val="26"/>
          <w:szCs w:val="26"/>
        </w:rPr>
        <w:t xml:space="preserve">[Enforcement Action / Hearing]</w:t>
      </w:r>
      <w:r>
        <w:rPr>
          <w:rFonts w:ascii="Lato" w:cs="Lato" w:eastAsia="Lato" w:hAnsi="Lato"/>
          <w:b/>
          <w:bCs/>
          <w:color w:val="C9A24A"/>
          <w:sz w:val="18"/>
          <w:szCs w:val="18"/>
        </w:rPr>
        <w:t xml:space="preserve">   [EXECUTIVE SESSION]</w:t>
      </w:r>
    </w:p>
    <w:p>
      <w:pPr>
        <w:spacing w:after="0" w:before="0" w:line="300"/>
        <w:ind w:left="360"/>
        <w:jc w:val="left"/>
      </w:pPr>
      <w:r>
        <w:rPr>
          <w:rFonts w:ascii="Lato" w:cs="Lato" w:eastAsia="Lato" w:hAnsi="Lato"/>
          <w:color w:val="1A1A1A"/>
          <w:sz w:val="22"/>
          <w:szCs w:val="22"/>
        </w:rPr>
        <w:t xml:space="preserve">(General subject reference for executive session notice.)</w:t>
      </w:r>
    </w:p>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Return to Open Session</w:t>
      </w:r>
    </w:p>
    <w:p>
      <w:pPr>
        <w:pBdr>
          <w:bottom w:val="single" w:color="C9A24A" w:sz="8" w:space="1"/>
        </w:pBdr>
        <w:spacing w:after="120" w:before="80"/>
      </w:pPr>
      <w:r>
        <w:t xml:space="preserve"/>
      </w:r>
    </w:p>
    <w:p>
      <w:pPr>
        <w:spacing w:after="60" w:before="200"/>
      </w:pPr>
      <w:r>
        <w:rPr>
          <w:rFonts w:ascii="Lato" w:cs="Lato" w:eastAsia="Lato" w:hAnsi="Lato"/>
          <w:b/>
          <w:bCs/>
          <w:color w:val="173F35"/>
          <w:sz w:val="24"/>
          <w:szCs w:val="24"/>
        </w:rPr>
        <w:t xml:space="preserve">14.  </w:t>
      </w:r>
      <w:r>
        <w:rPr>
          <w:rFonts w:ascii="Garamond" w:cs="Garamond" w:eastAsia="Garamond" w:hAnsi="Garamond"/>
          <w:b/>
          <w:bCs/>
          <w:color w:val="173F35"/>
          <w:sz w:val="26"/>
          <w:szCs w:val="26"/>
        </w:rPr>
        <w:t xml:space="preserve">Ratification of Action</w:t>
      </w:r>
      <w:r>
        <w:t xml:space="preserve"/>
      </w:r>
    </w:p>
    <w:p>
      <w:pPr>
        <w:spacing w:after="0" w:before="0" w:line="300"/>
        <w:ind w:left="360"/>
        <w:jc w:val="left"/>
      </w:pPr>
      <w:r>
        <w:rPr>
          <w:rFonts w:ascii="Lato" w:cs="Lato" w:eastAsia="Lato" w:hAnsi="Lato"/>
          <w:color w:val="1A1A1A"/>
          <w:sz w:val="22"/>
          <w:szCs w:val="22"/>
        </w:rPr>
        <w:t xml:space="preserve">Any action requiring open-session ratification; minutes capture the ratifying motion only, not the underlying executive session discussion.</w:t>
      </w:r>
    </w:p>
    <w:p>
      <w:pPr>
        <w:spacing w:after="60" w:before="200"/>
      </w:pPr>
      <w:r>
        <w:rPr>
          <w:rFonts w:ascii="Lato" w:cs="Lato" w:eastAsia="Lato" w:hAnsi="Lato"/>
          <w:b/>
          <w:bCs/>
          <w:color w:val="173F35"/>
          <w:sz w:val="24"/>
          <w:szCs w:val="24"/>
        </w:rPr>
        <w:t xml:space="preserve">15.  </w:t>
      </w:r>
      <w:r>
        <w:rPr>
          <w:rFonts w:ascii="Garamond" w:cs="Garamond" w:eastAsia="Garamond" w:hAnsi="Garamond"/>
          <w:b/>
          <w:bCs/>
          <w:color w:val="173F35"/>
          <w:sz w:val="26"/>
          <w:szCs w:val="26"/>
        </w:rPr>
        <w:t xml:space="preserve">Announcements</w:t>
      </w:r>
      <w:r>
        <w:t xml:space="preserve"/>
      </w:r>
    </w:p>
    <w:p>
      <w:pPr>
        <w:spacing w:after="0" w:before="0" w:line="300"/>
        <w:ind w:left="360"/>
        <w:jc w:val="left"/>
      </w:pPr>
      <w:r>
        <w:rPr>
          <w:rFonts w:ascii="Lato" w:cs="Lato" w:eastAsia="Lato" w:hAnsi="Lato"/>
          <w:color w:val="1A1A1A"/>
          <w:sz w:val="22"/>
          <w:szCs w:val="22"/>
        </w:rPr>
        <w:t xml:space="preserve">Upcoming meetings, community events, important dates.</w:t>
      </w:r>
    </w:p>
    <w:p>
      <w:pPr>
        <w:spacing w:after="60" w:before="200"/>
      </w:pPr>
      <w:r>
        <w:rPr>
          <w:rFonts w:ascii="Lato" w:cs="Lato" w:eastAsia="Lato" w:hAnsi="Lato"/>
          <w:b/>
          <w:bCs/>
          <w:color w:val="173F35"/>
          <w:sz w:val="24"/>
          <w:szCs w:val="24"/>
        </w:rPr>
        <w:t xml:space="preserve">16.  </w:t>
      </w:r>
      <w:r>
        <w:rPr>
          <w:rFonts w:ascii="Garamond" w:cs="Garamond" w:eastAsia="Garamond" w:hAnsi="Garamond"/>
          <w:b/>
          <w:bCs/>
          <w:color w:val="173F35"/>
          <w:sz w:val="26"/>
          <w:szCs w:val="26"/>
        </w:rPr>
        <w:t xml:space="preserve">Adjournment</w:t>
      </w:r>
      <w:r>
        <w:t xml:space="preserve"/>
      </w:r>
    </w:p>
    <w:p>
      <w:pPr>
        <w:spacing w:after="0" w:before="0" w:line="300"/>
        <w:ind w:left="360"/>
        <w:jc w:val="left"/>
      </w:pPr>
      <w:r>
        <w:rPr>
          <w:rFonts w:ascii="Lato" w:cs="Lato" w:eastAsia="Lato" w:hAnsi="Lato"/>
          <w:color w:val="1A1A1A"/>
          <w:sz w:val="22"/>
          <w:szCs w:val="22"/>
        </w:rPr>
        <w:t xml:space="preserve">Record time of adjournment.</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AGENDA NOTES</w:t>
            </w:r>
          </w:p>
          <w:p>
            <w:pPr>
              <w:spacing w:after="0" w:before="0" w:line="300"/>
              <w:jc w:val="left"/>
            </w:pPr>
            <w:r>
              <w:rPr>
                <w:rFonts w:ascii="Lato" w:cs="Lato" w:eastAsia="Lato" w:hAnsi="Lato"/>
                <w:color w:val="1A1A1A"/>
                <w:sz w:val="22"/>
                <w:szCs w:val="22"/>
              </w:rPr>
              <w:t xml:space="preserve">Discussion items vs. action items should be distinguished on the agenda. Pre-draft motions for action items wherever possible. Vague or open-ended agenda items produce vague or open-ended meetings.</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Texas Board Meeting Agenda  •  HOA + Condominium</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Texas Board Meeting Agenda</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Board Meeting Agenda Template</dc:title>
  <dc:creator>Common Interest Community Standards Council (CIC-SC)</dc:creator>
  <dc:description>CIC-SC Texas Library — Phase 1 template.</dc:description>
  <cp:lastModifiedBy>Un-named</cp:lastModifiedBy>
  <cp:revision>1</cp:revision>
  <dcterms:created xsi:type="dcterms:W3CDTF">2026-05-11T15:33:35.823Z</dcterms:created>
  <dcterms:modified xsi:type="dcterms:W3CDTF">2026-05-11T15:33:35.823Z</dcterms:modified>
</cp:coreProperties>
</file>

<file path=docProps/custom.xml><?xml version="1.0" encoding="utf-8"?>
<Properties xmlns="http://schemas.openxmlformats.org/officeDocument/2006/custom-properties" xmlns:vt="http://schemas.openxmlformats.org/officeDocument/2006/docPropsVTypes"/>
</file>