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Sample Vendor Services Agreement  /  Standalone Draft / Pool &amp; Spa Sample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Vendor Services</w:t>
      </w:r>
    </w:p>
    <w:p>
      <w:pPr>
        <w:spacing w:after="240" w:before="0"/>
        <w:jc w:val="left"/>
      </w:pPr>
      <w:r>
        <w:rPr>
          <w:rFonts w:ascii="Garamond" w:cs="Garamond" w:eastAsia="Garamond" w:hAnsi="Garamond"/>
          <w:i/>
          <w:iCs/>
          <w:color w:val="173F35"/>
          <w:sz w:val="60"/>
          <w:szCs w:val="60"/>
        </w:rPr>
        <w:t xml:space="preserve">Agreement</w:t>
      </w:r>
    </w:p>
    <w:p>
      <w:pPr>
        <w:spacing w:after="1200" w:before="80"/>
        <w:jc w:val="left"/>
      </w:pPr>
      <w:r>
        <w:rPr>
          <w:rFonts w:ascii="Lato" w:cs="Lato" w:eastAsia="Lato" w:hAnsi="Lato"/>
          <w:color w:val="1A1A1A"/>
          <w:sz w:val="24"/>
          <w:szCs w:val="24"/>
        </w:rPr>
        <w:t xml:space="preserve">Sample executed agreement between Tarpon Bay Condominium Association, Inc. and Naples Pool Pros, Inc. for commercial swimming pool and spa services. Awarded under RFP # 2026-08-POOL; pairs with the prior sample RFP and Comparative Evaluation.</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Standalone Draft  •  Florida Sample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Condominium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Vendor Services Agreement (Tier 1/2) Template  •  Sample RFP — Pool &amp; Spa (FL)  •  Sample Evaluation — Pool &amp; Spa (FL)</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THIS IS A FULLY POPULATED EXAMPLE</w:t>
            </w:r>
          </w:p>
          <w:p>
            <w:pPr>
              <w:spacing w:after="0" w:before="0" w:line="300"/>
              <w:jc w:val="left"/>
            </w:pPr>
            <w:r>
              <w:rPr>
                <w:rFonts w:ascii="Lato" w:cs="Lato" w:eastAsia="Lato" w:hAnsi="Lato"/>
                <w:color w:val="1A1A1A"/>
                <w:sz w:val="22"/>
                <w:szCs w:val="22"/>
              </w:rPr>
              <w:t xml:space="preserve">The names, dates, dollar values, and pool specifications are illustrative. Replace with your association’s information before execution. The structure, indemnity, insurance, lien-waiver, and governing-law clauses reflect CIC-SC best practice for a 12-month commercial pool service contract under Florida law (Fla. Stat. Ch. 718).</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DEFENSIBLE DEPARTURE FROM LOWEST PRICE</w:t>
            </w:r>
          </w:p>
          <w:p>
            <w:pPr>
              <w:spacing w:after="0" w:before="0" w:line="300"/>
              <w:jc w:val="left"/>
            </w:pPr>
            <w:r>
              <w:rPr>
                <w:rFonts w:ascii="Lato" w:cs="Lato" w:eastAsia="Lato" w:hAnsi="Lato"/>
                <w:color w:val="1A1A1A"/>
                <w:sz w:val="22"/>
                <w:szCs w:val="22"/>
              </w:rPr>
              <w:t xml:space="preserve">This contract was awarded to Naples Pool Pros, not the lowest-priced bidder, because of documented qualitative factors recorded in the Award Recommendation Memo (Section 9 of the Comparative Evaluation Worksheet). The award memo and meeting minutes are part of the Association’s permanent record alongside this Agreement.</w:t>
            </w:r>
          </w:p>
        </w:tc>
      </w:tr>
    </w:tbl>
    <w:p>
      <w:r>
        <w:br w:type="page"/>
      </w:r>
    </w:p>
    <w:p>
      <w:pPr>
        <w:spacing w:after="60" w:before="0"/>
      </w:pPr>
      <w:r>
        <w:rPr>
          <w:rFonts w:ascii="Lato" w:cs="Lato" w:eastAsia="Lato" w:hAnsi="Lato"/>
          <w:b/>
          <w:bCs/>
          <w:color w:val="C9A24A"/>
          <w:spacing w:val="100"/>
          <w:sz w:val="16"/>
          <w:szCs w:val="16"/>
        </w:rPr>
        <w:t xml:space="preserve">COVER SHEET</w:t>
      </w:r>
    </w:p>
    <w:p>
      <w:pPr>
        <w:pStyle w:val="Heading1"/>
        <w:spacing w:after="160" w:before="280"/>
      </w:pPr>
      <w:r>
        <w:rPr>
          <w:rFonts w:ascii="Garamond" w:cs="Garamond" w:eastAsia="Garamond" w:hAnsi="Garamond"/>
          <w:b/>
          <w:bCs/>
          <w:color w:val="173F35"/>
          <w:sz w:val="40"/>
          <w:szCs w:val="40"/>
        </w:rPr>
        <w:t xml:space="preserve">Vendor Services Agreement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This Vendor Services Agreement (the “</w:t>
      </w:r>
      <w:r>
        <w:rPr>
          <w:rFonts w:ascii="Lato" w:cs="Lato" w:eastAsia="Lato" w:hAnsi="Lato"/>
          <w:b/>
          <w:bCs/>
          <w:color w:val="1A1A1A"/>
          <w:sz w:val="22"/>
          <w:szCs w:val="22"/>
        </w:rPr>
        <w:t xml:space="preserve">Agreement</w:t>
      </w:r>
      <w:r>
        <w:rPr>
          <w:rFonts w:ascii="Lato" w:cs="Lato" w:eastAsia="Lato" w:hAnsi="Lato"/>
          <w:color w:val="1A1A1A"/>
          <w:sz w:val="22"/>
          <w:szCs w:val="22"/>
        </w:rPr>
        <w:t xml:space="preserve">”) is entered into as of </w:t>
      </w:r>
      <w:r>
        <w:rPr>
          <w:rFonts w:ascii="Lato" w:cs="Lato" w:eastAsia="Lato" w:hAnsi="Lato"/>
          <w:b/>
          <w:bCs/>
          <w:color w:val="173F35"/>
          <w:sz w:val="22"/>
          <w:szCs w:val="22"/>
        </w:rPr>
        <w:t xml:space="preserve">January 1, 2027</w:t>
      </w:r>
      <w:r>
        <w:rPr>
          <w:rFonts w:ascii="Lato" w:cs="Lato" w:eastAsia="Lato" w:hAnsi="Lato"/>
          <w:color w:val="1A1A1A"/>
          <w:sz w:val="22"/>
          <w:szCs w:val="22"/>
        </w:rPr>
        <w:t xml:space="preserve"> by and between:</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Tarpon Bay Condominium Association, Inc., a Florida non-profit corporation subject to Fla. Stat. Ch. 718, with offices at 1820 Tarpon Bay Drive, Naples, Florida 34104  (“Association”)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VENDOR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Naples Pool Pros, Inc., a Florida corporation, with offices at 3825 Pine Ridge Road, Suite 200, Naples, Florida 34109  (“Vendor”)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2026-08-POOL  •  awarded by Board resolution dated October 27, 2026</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Commercial Swimming Pool &amp; Spa Service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TERM</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12 months, beginning January 1, 2027, ending December 31, 2027, with two (2) one-year renewal options at Association’s sole discretion</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Recitals</w:t>
      </w:r>
    </w:p>
    <w:p>
      <w:pPr>
        <w:spacing w:after="12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the Association issued Request for Proposal # 2026-08-POOL (the “RFP”) for commercial swimming pool and spa service in compliance with Fla. Stat. § 718.3026;</w:t>
      </w:r>
    </w:p>
    <w:p>
      <w:pPr>
        <w:spacing w:after="12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Vendor submitted a proposal dated September 30, 2026 (the “Vendor’s Proposal”), and the Association’s Board of Directors awarded the contract to Vendor by recorded vote at a properly noticed open meeting on October 27, 2026, with documented qualitative reasons for selecting Vendor over the lowest-priced technically acceptable bidder as set forth in the Award Recommendation Memo;</w:t>
      </w:r>
    </w:p>
    <w:p>
      <w:pPr>
        <w:spacing w:after="16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the Parties wish to memorialize the terms of Vendor’s engagement consistent with the RFP, Vendor’s Proposal, and the Board’s award;</w:t>
      </w:r>
    </w:p>
    <w:p>
      <w:pPr>
        <w:spacing w:after="120" w:before="0" w:line="320"/>
        <w:jc w:val="left"/>
      </w:pPr>
      <w:r>
        <w:rPr>
          <w:rFonts w:ascii="Lato" w:cs="Lato" w:eastAsia="Lato" w:hAnsi="Lato"/>
          <w:b/>
          <w:bCs/>
          <w:color w:val="173F35"/>
          <w:sz w:val="22"/>
          <w:szCs w:val="22"/>
        </w:rPr>
        <w:t xml:space="preserve">NOW, THEREFORE, </w:t>
      </w:r>
      <w:r>
        <w:rPr>
          <w:rFonts w:ascii="Lato" w:cs="Lato" w:eastAsia="Lato" w:hAnsi="Lato"/>
          <w:color w:val="1A1A1A"/>
          <w:sz w:val="22"/>
          <w:szCs w:val="22"/>
        </w:rPr>
        <w:t xml:space="preserve">the Parties agree as follows:</w:t>
      </w:r>
    </w:p>
    <w:p>
      <w:r>
        <w:br w:type="page"/>
      </w:r>
    </w:p>
    <w:p>
      <w:pPr>
        <w:spacing w:after="0" w:before="280"/>
      </w:pPr>
      <w:r>
        <w:rPr>
          <w:rFonts w:ascii="Lato" w:cs="Lato" w:eastAsia="Lato" w:hAnsi="Lato"/>
          <w:b/>
          <w:bCs/>
          <w:color w:val="C9A24A"/>
          <w:spacing w:val="120"/>
          <w:sz w:val="16"/>
          <w:szCs w:val="16"/>
        </w:rPr>
        <w:t xml:space="preserve">ARTICLE 1</w:t>
      </w:r>
    </w:p>
    <w:p>
      <w:pPr>
        <w:spacing w:after="60" w:before="0"/>
      </w:pPr>
      <w:r>
        <w:rPr>
          <w:rFonts w:ascii="Garamond" w:cs="Garamond" w:eastAsia="Garamond" w:hAnsi="Garamond"/>
          <w:b/>
          <w:bCs/>
          <w:color w:val="173F35"/>
          <w:sz w:val="30"/>
          <w:szCs w:val="30"/>
        </w:rPr>
        <w:t xml:space="preserve">Definitions</w:t>
      </w:r>
    </w:p>
    <w:p>
      <w:pPr>
        <w:pBdr>
          <w:bottom w:val="single" w:color="C9A24A" w:sz="6" w:space="1"/>
        </w:pBdr>
        <w:spacing w:after="120" w:before="80"/>
      </w:pPr>
      <w:r>
        <w:t xml:space="preserve"/>
      </w:r>
    </w:p>
    <w:p>
      <w:pPr>
        <w:pStyle w:val="ListParagraph"/>
        <w:numPr>
          <w:ilvl w:val="0"/>
          <w:numId w:val="2"/>
        </w:numPr>
        <w:spacing w:after="100" w:before="60" w:line="300"/>
      </w:pPr>
      <w:r>
        <w:rPr>
          <w:rFonts w:ascii="Lato" w:cs="Lato" w:eastAsia="Lato" w:hAnsi="Lato"/>
          <w:color w:val="1A1A1A"/>
          <w:sz w:val="22"/>
          <w:szCs w:val="22"/>
        </w:rPr>
        <w:t xml:space="preserve">“RFP” means Request for Proposal # 2026-08-POOL, including all attachments, addenda, and the questions-and-answers issued during the solicitation period.</w:t>
      </w:r>
    </w:p>
    <w:p>
      <w:pPr>
        <w:pStyle w:val="ListParagraph"/>
        <w:numPr>
          <w:ilvl w:val="0"/>
          <w:numId w:val="2"/>
        </w:numPr>
        <w:spacing w:after="100" w:before="60" w:line="300"/>
      </w:pPr>
      <w:r>
        <w:rPr>
          <w:rFonts w:ascii="Lato" w:cs="Lato" w:eastAsia="Lato" w:hAnsi="Lato"/>
          <w:color w:val="1A1A1A"/>
          <w:sz w:val="22"/>
          <w:szCs w:val="22"/>
        </w:rPr>
        <w:t xml:space="preserve">“Statement of Work” means Section 3 of the RFP, as further described in Exhibit A.</w:t>
      </w:r>
    </w:p>
    <w:p>
      <w:pPr>
        <w:pStyle w:val="ListParagraph"/>
        <w:numPr>
          <w:ilvl w:val="0"/>
          <w:numId w:val="2"/>
        </w:numPr>
        <w:spacing w:after="100" w:before="60" w:line="300"/>
      </w:pPr>
      <w:r>
        <w:rPr>
          <w:rFonts w:ascii="Lato" w:cs="Lato" w:eastAsia="Lato" w:hAnsi="Lato"/>
          <w:color w:val="1A1A1A"/>
          <w:sz w:val="22"/>
          <w:szCs w:val="22"/>
        </w:rPr>
        <w:t xml:space="preserve">“Vendor’s Proposal” means the proposal submitted by Vendor dated September 30, 2026, including the Bid Sheet (Exhibit B) and the Bid Authorization &amp; Affidavit (Exhibit C).</w:t>
      </w:r>
    </w:p>
    <w:p>
      <w:pPr>
        <w:pStyle w:val="ListParagraph"/>
        <w:numPr>
          <w:ilvl w:val="0"/>
          <w:numId w:val="2"/>
        </w:numPr>
        <w:spacing w:after="100" w:before="60" w:line="300"/>
      </w:pPr>
      <w:r>
        <w:rPr>
          <w:rFonts w:ascii="Lato" w:cs="Lato" w:eastAsia="Lato" w:hAnsi="Lato"/>
          <w:color w:val="1A1A1A"/>
          <w:sz w:val="22"/>
          <w:szCs w:val="22"/>
        </w:rPr>
        <w:t xml:space="preserve">“Manager” means Marcus Hill, Association Manager, or his successor designated by the Board in writing.</w:t>
      </w:r>
    </w:p>
    <w:p>
      <w:pPr>
        <w:pStyle w:val="ListParagraph"/>
        <w:numPr>
          <w:ilvl w:val="0"/>
          <w:numId w:val="2"/>
        </w:numPr>
        <w:spacing w:after="100" w:before="60" w:line="300"/>
      </w:pPr>
      <w:r>
        <w:rPr>
          <w:rFonts w:ascii="Lato" w:cs="Lato" w:eastAsia="Lato" w:hAnsi="Lato"/>
          <w:color w:val="1A1A1A"/>
          <w:sz w:val="22"/>
          <w:szCs w:val="22"/>
        </w:rPr>
        <w:t xml:space="preserve">“Services” means the commercial swimming pool and spa servicing described in the Statement of Work.</w:t>
      </w:r>
    </w:p>
    <w:p>
      <w:pPr>
        <w:pStyle w:val="ListParagraph"/>
        <w:numPr>
          <w:ilvl w:val="0"/>
          <w:numId w:val="2"/>
        </w:numPr>
        <w:spacing w:after="100" w:before="60" w:line="300"/>
      </w:pPr>
      <w:r>
        <w:rPr>
          <w:rFonts w:ascii="Lato" w:cs="Lato" w:eastAsia="Lato" w:hAnsi="Lato"/>
          <w:color w:val="1A1A1A"/>
          <w:sz w:val="22"/>
          <w:szCs w:val="22"/>
        </w:rPr>
        <w:t xml:space="preserve">“Performance Period” means January 1, 2027 through December 31, 2027.</w:t>
      </w:r>
    </w:p>
    <w:p>
      <w:pPr>
        <w:pStyle w:val="ListParagraph"/>
        <w:numPr>
          <w:ilvl w:val="0"/>
          <w:numId w:val="2"/>
        </w:numPr>
        <w:spacing w:after="100" w:before="60" w:line="300"/>
      </w:pPr>
      <w:r>
        <w:rPr>
          <w:rFonts w:ascii="Lato" w:cs="Lato" w:eastAsia="Lato" w:hAnsi="Lato"/>
          <w:color w:val="1A1A1A"/>
          <w:sz w:val="22"/>
          <w:szCs w:val="22"/>
        </w:rPr>
        <w:t xml:space="preserve">“Pool Code” means Fla. Admin. Code Ch. 64E-9 (Public Swimming Pools and Bathing Places), as amended.</w:t>
      </w:r>
    </w:p>
    <w:p>
      <w:pPr>
        <w:spacing w:after="0" w:before="280"/>
      </w:pPr>
      <w:r>
        <w:rPr>
          <w:rFonts w:ascii="Lato" w:cs="Lato" w:eastAsia="Lato" w:hAnsi="Lato"/>
          <w:b/>
          <w:bCs/>
          <w:color w:val="C9A24A"/>
          <w:spacing w:val="120"/>
          <w:sz w:val="16"/>
          <w:szCs w:val="16"/>
        </w:rPr>
        <w:t xml:space="preserve">ARTICLE 2</w:t>
      </w:r>
    </w:p>
    <w:p>
      <w:pPr>
        <w:spacing w:after="60" w:before="0"/>
      </w:pPr>
      <w:r>
        <w:rPr>
          <w:rFonts w:ascii="Garamond" w:cs="Garamond" w:eastAsia="Garamond" w:hAnsi="Garamond"/>
          <w:b/>
          <w:bCs/>
          <w:color w:val="173F35"/>
          <w:sz w:val="30"/>
          <w:szCs w:val="30"/>
        </w:rPr>
        <w:t xml:space="preserve">Scope of Services</w:t>
      </w:r>
    </w:p>
    <w:p>
      <w:pPr>
        <w:pBdr>
          <w:bottom w:val="single" w:color="C9A24A" w:sz="6" w:space="1"/>
        </w:pBdr>
        <w:spacing w:after="120" w:before="80"/>
      </w:pPr>
      <w:r>
        <w:t xml:space="preserve"/>
      </w:r>
    </w:p>
    <w:p>
      <w:pPr>
        <w:pStyle w:val="ListParagraph"/>
        <w:numPr>
          <w:ilvl w:val="0"/>
          <w:numId w:val="3"/>
        </w:numPr>
        <w:spacing w:after="100" w:before="60" w:line="300"/>
      </w:pPr>
      <w:r>
        <w:rPr>
          <w:rFonts w:ascii="Lato" w:cs="Lato" w:eastAsia="Lato" w:hAnsi="Lato"/>
          <w:color w:val="1A1A1A"/>
          <w:sz w:val="22"/>
          <w:szCs w:val="22"/>
        </w:rPr>
        <w:t xml:space="preserve">Vendor shall furnish all labor, materials, supervision, and equipment necessary to perform the Services described in the Statement of Work, including: three (3) service visits per week; chemical balance and adjustment to ranges required by the Pool Code; mechanical inspection at every visit; vacuum, brush, and skim of pool and spa at every visit; quarterly cartridge filter clean; chemical inventory; service log; state and county health-department inspection support; and hurricane / tropical-storm secure-and-restart (billed under approved work order at $580 per event).</w:t>
      </w:r>
    </w:p>
    <w:p>
      <w:pPr>
        <w:pStyle w:val="ListParagraph"/>
        <w:numPr>
          <w:ilvl w:val="0"/>
          <w:numId w:val="3"/>
        </w:numPr>
        <w:spacing w:after="100" w:before="60" w:line="300"/>
      </w:pPr>
      <w:r>
        <w:rPr>
          <w:rFonts w:ascii="Lato" w:cs="Lato" w:eastAsia="Lato" w:hAnsi="Lato"/>
          <w:color w:val="1A1A1A"/>
          <w:sz w:val="22"/>
          <w:szCs w:val="22"/>
        </w:rPr>
        <w:t xml:space="preserve">The Statement of Work is incorporated by reference. In the event of any direct conflict between the Statement of Work and this Agreement, this Agreement controls; in the event of any direct conflict between this Agreement and the Governing Documents or applicable law, the Governing Documents and applicable law control.</w:t>
      </w:r>
    </w:p>
    <w:p>
      <w:pPr>
        <w:pStyle w:val="ListParagraph"/>
        <w:numPr>
          <w:ilvl w:val="0"/>
          <w:numId w:val="3"/>
        </w:numPr>
        <w:spacing w:after="100" w:before="60" w:line="300"/>
      </w:pPr>
      <w:r>
        <w:rPr>
          <w:rFonts w:ascii="Lato" w:cs="Lato" w:eastAsia="Lato" w:hAnsi="Lato"/>
          <w:color w:val="1A1A1A"/>
          <w:sz w:val="22"/>
          <w:szCs w:val="22"/>
        </w:rPr>
        <w:t xml:space="preserve">Vendor warrants that the Services will be performed in compliance with the Pool Code at all times. Free chlorine, pH, and other chemistry parameters shall be maintained within ranges required by the Pool Code; remediation of any out-of-range reading shall begin within 24 hours.</w:t>
      </w:r>
    </w:p>
    <w:p>
      <w:pPr>
        <w:pStyle w:val="ListParagraph"/>
        <w:numPr>
          <w:ilvl w:val="0"/>
          <w:numId w:val="3"/>
        </w:numPr>
        <w:spacing w:after="100" w:before="60" w:line="300"/>
      </w:pPr>
      <w:r>
        <w:rPr>
          <w:rFonts w:ascii="Lato" w:cs="Lato" w:eastAsia="Lato" w:hAnsi="Lato"/>
          <w:color w:val="1A1A1A"/>
          <w:sz w:val="22"/>
          <w:szCs w:val="22"/>
        </w:rPr>
        <w:t xml:space="preserve">Vendor shall complete each visit between the hours of 7:00 a.m. and 5:00 p.m. local time, on a schedule submitted to the Manager in writing within thirty (30) days of the Effective Date.</w:t>
      </w:r>
    </w:p>
    <w:p>
      <w:pPr>
        <w:pStyle w:val="ListParagraph"/>
        <w:numPr>
          <w:ilvl w:val="0"/>
          <w:numId w:val="3"/>
        </w:numPr>
        <w:spacing w:after="100" w:before="60" w:line="300"/>
      </w:pPr>
      <w:r>
        <w:rPr>
          <w:rFonts w:ascii="Lato" w:cs="Lato" w:eastAsia="Lato" w:hAnsi="Lato"/>
          <w:color w:val="1A1A1A"/>
          <w:sz w:val="22"/>
          <w:szCs w:val="22"/>
        </w:rPr>
        <w:t xml:space="preserve">Vendor shall not undertake work outside the Scope of Services on the request of any individual director, officer, committee member, owner, or resident. All requests for additional work shall be directed to the Manager and shall not be performed without a written work order approved in advance.</w:t>
      </w:r>
    </w:p>
    <w:p>
      <w:pPr>
        <w:spacing w:after="0" w:before="280"/>
      </w:pPr>
      <w:r>
        <w:rPr>
          <w:rFonts w:ascii="Lato" w:cs="Lato" w:eastAsia="Lato" w:hAnsi="Lato"/>
          <w:b/>
          <w:bCs/>
          <w:color w:val="C9A24A"/>
          <w:spacing w:val="120"/>
          <w:sz w:val="16"/>
          <w:szCs w:val="16"/>
        </w:rPr>
        <w:t xml:space="preserve">ARTICLE 3</w:t>
      </w:r>
    </w:p>
    <w:p>
      <w:pPr>
        <w:spacing w:after="60" w:before="0"/>
      </w:pPr>
      <w:r>
        <w:rPr>
          <w:rFonts w:ascii="Garamond" w:cs="Garamond" w:eastAsia="Garamond" w:hAnsi="Garamond"/>
          <w:b/>
          <w:bCs/>
          <w:color w:val="173F35"/>
          <w:sz w:val="30"/>
          <w:szCs w:val="30"/>
        </w:rPr>
        <w:t xml:space="preserve">Term and Renewal</w:t>
      </w:r>
    </w:p>
    <w:p>
      <w:pPr>
        <w:pBdr>
          <w:bottom w:val="single" w:color="C9A24A" w:sz="6" w:space="1"/>
        </w:pBdr>
        <w:spacing w:after="120" w:before="80"/>
      </w:pPr>
      <w:r>
        <w:t xml:space="preserve"/>
      </w:r>
    </w:p>
    <w:p>
      <w:pPr>
        <w:pStyle w:val="ListParagraph"/>
        <w:numPr>
          <w:ilvl w:val="0"/>
          <w:numId w:val="4"/>
        </w:numPr>
        <w:spacing w:after="100" w:before="60" w:line="300"/>
      </w:pPr>
      <w:r>
        <w:rPr>
          <w:rFonts w:ascii="Lato" w:cs="Lato" w:eastAsia="Lato" w:hAnsi="Lato"/>
          <w:color w:val="1A1A1A"/>
          <w:sz w:val="22"/>
          <w:szCs w:val="22"/>
        </w:rPr>
        <w:t xml:space="preserve">The Performance Period is twelve (12) months beginning January 1, 2027 and ending December 31, 2027.</w:t>
      </w:r>
    </w:p>
    <w:p>
      <w:pPr>
        <w:pStyle w:val="ListParagraph"/>
        <w:numPr>
          <w:ilvl w:val="0"/>
          <w:numId w:val="4"/>
        </w:numPr>
        <w:spacing w:after="100" w:before="60" w:line="300"/>
      </w:pPr>
      <w:r>
        <w:rPr>
          <w:rFonts w:ascii="Lato" w:cs="Lato" w:eastAsia="Lato" w:hAnsi="Lato"/>
          <w:color w:val="1A1A1A"/>
          <w:sz w:val="22"/>
          <w:szCs w:val="22"/>
        </w:rPr>
        <w:t xml:space="preserve">This Agreement shall renew for up to two (2) successive one-year terms at the Association’s sole discretion. The Association shall provide written notice of its election to renew not less than thirty (30) days before the end of the then-current term. Vendor shall not assume renewal.</w:t>
      </w:r>
    </w:p>
    <w:p>
      <w:pPr>
        <w:pStyle w:val="ListParagraph"/>
        <w:numPr>
          <w:ilvl w:val="0"/>
          <w:numId w:val="4"/>
        </w:numPr>
        <w:spacing w:after="100" w:before="60" w:line="300"/>
      </w:pPr>
      <w:r>
        <w:rPr>
          <w:rFonts w:ascii="Lato" w:cs="Lato" w:eastAsia="Lato" w:hAnsi="Lato"/>
          <w:color w:val="1A1A1A"/>
          <w:sz w:val="22"/>
          <w:szCs w:val="22"/>
        </w:rPr>
        <w:t xml:space="preserve">Pricing at each renewal shall be subject to the price review provisions in Article 4.</w:t>
      </w:r>
    </w:p>
    <w:p>
      <w:pPr>
        <w:spacing w:after="0" w:before="280"/>
      </w:pPr>
      <w:r>
        <w:rPr>
          <w:rFonts w:ascii="Lato" w:cs="Lato" w:eastAsia="Lato" w:hAnsi="Lato"/>
          <w:b/>
          <w:bCs/>
          <w:color w:val="C9A24A"/>
          <w:spacing w:val="120"/>
          <w:sz w:val="16"/>
          <w:szCs w:val="16"/>
        </w:rPr>
        <w:t xml:space="preserve">ARTICLE 4</w:t>
      </w:r>
    </w:p>
    <w:p>
      <w:pPr>
        <w:spacing w:after="60" w:before="0"/>
      </w:pPr>
      <w:r>
        <w:rPr>
          <w:rFonts w:ascii="Garamond" w:cs="Garamond" w:eastAsia="Garamond" w:hAnsi="Garamond"/>
          <w:b/>
          <w:bCs/>
          <w:color w:val="173F35"/>
          <w:sz w:val="30"/>
          <w:szCs w:val="30"/>
        </w:rPr>
        <w:t xml:space="preserve">Pricing and Payment</w:t>
      </w:r>
    </w:p>
    <w:p>
      <w:pPr>
        <w:pBdr>
          <w:bottom w:val="single" w:color="C9A24A" w:sz="6" w:space="1"/>
        </w:pBdr>
        <w:spacing w:after="120" w:before="80"/>
      </w:pPr>
      <w:r>
        <w:t xml:space="preserve"/>
      </w:r>
    </w:p>
    <w:p>
      <w:pPr>
        <w:pStyle w:val="ListParagraph"/>
        <w:numPr>
          <w:ilvl w:val="0"/>
          <w:numId w:val="5"/>
        </w:numPr>
        <w:spacing w:after="100" w:before="60" w:line="300"/>
      </w:pPr>
      <w:r>
        <w:rPr>
          <w:rFonts w:ascii="Lato" w:cs="Lato" w:eastAsia="Lato" w:hAnsi="Lato"/>
          <w:color w:val="1A1A1A"/>
          <w:sz w:val="22"/>
          <w:szCs w:val="22"/>
        </w:rPr>
        <w:t xml:space="preserve">Vendor shall be paid a monthly fixed-fee of $1,990.00 for the recurring Services described in Section 3.2 of the RFP. The first month’s fee is due January 5, 2027.</w:t>
      </w:r>
    </w:p>
    <w:p>
      <w:pPr>
        <w:pStyle w:val="ListParagraph"/>
        <w:numPr>
          <w:ilvl w:val="0"/>
          <w:numId w:val="5"/>
        </w:numPr>
        <w:spacing w:after="100" w:before="60" w:line="300"/>
      </w:pPr>
      <w:r>
        <w:rPr>
          <w:rFonts w:ascii="Lato" w:cs="Lato" w:eastAsia="Lato" w:hAnsi="Lato"/>
          <w:color w:val="1A1A1A"/>
          <w:sz w:val="22"/>
          <w:szCs w:val="22"/>
        </w:rPr>
        <w:t xml:space="preserve">Annual escalation shall be three percent (3%) at each renewal anniversary, as stated in the Bid Sheet attached as Exhibit B.</w:t>
      </w:r>
    </w:p>
    <w:p>
      <w:pPr>
        <w:pStyle w:val="ListParagraph"/>
        <w:numPr>
          <w:ilvl w:val="0"/>
          <w:numId w:val="5"/>
        </w:numPr>
        <w:spacing w:after="100" w:before="60" w:line="300"/>
      </w:pPr>
      <w:r>
        <w:rPr>
          <w:rFonts w:ascii="Lato" w:cs="Lato" w:eastAsia="Lato" w:hAnsi="Lato"/>
          <w:color w:val="1A1A1A"/>
          <w:sz w:val="22"/>
          <w:szCs w:val="22"/>
        </w:rPr>
        <w:t xml:space="preserve">All amounts are inclusive of state and local sales tax.</w:t>
      </w:r>
    </w:p>
    <w:p>
      <w:pPr>
        <w:pStyle w:val="ListParagraph"/>
        <w:numPr>
          <w:ilvl w:val="0"/>
          <w:numId w:val="5"/>
        </w:numPr>
        <w:spacing w:after="100" w:before="60" w:line="300"/>
      </w:pPr>
      <w:r>
        <w:rPr>
          <w:rFonts w:ascii="Lato" w:cs="Lato" w:eastAsia="Lato" w:hAnsi="Lato"/>
          <w:color w:val="1A1A1A"/>
          <w:sz w:val="22"/>
          <w:szCs w:val="22"/>
        </w:rPr>
        <w:t xml:space="preserve">As-needed services shall be performed only upon a written work order approved in advance by the Manager. Labor shall be billed at $85.00 per man-hour for pool technician work and $110.00 per man-hour for pool mechanical specialist work; materials shall be billed at cost plus 14% markup; hurricane secure-and-restart shall be billed at $580.00 per event.</w:t>
      </w:r>
    </w:p>
    <w:p>
      <w:pPr>
        <w:pStyle w:val="ListParagraph"/>
        <w:numPr>
          <w:ilvl w:val="0"/>
          <w:numId w:val="5"/>
        </w:numPr>
        <w:spacing w:after="100" w:before="60" w:line="300"/>
      </w:pPr>
      <w:r>
        <w:rPr>
          <w:rFonts w:ascii="Lato" w:cs="Lato" w:eastAsia="Lato" w:hAnsi="Lato"/>
          <w:color w:val="1A1A1A"/>
          <w:sz w:val="22"/>
          <w:szCs w:val="22"/>
        </w:rPr>
        <w:t xml:space="preserve">Vendor shall invoice the Association monthly on or before the 5th day of each month. The Association shall pay properly submitted invoices within thirty (30) days of receipt.</w:t>
      </w:r>
    </w:p>
    <w:p>
      <w:pPr>
        <w:pStyle w:val="ListParagraph"/>
        <w:numPr>
          <w:ilvl w:val="0"/>
          <w:numId w:val="5"/>
        </w:numPr>
        <w:spacing w:after="100" w:before="60" w:line="300"/>
      </w:pPr>
      <w:r>
        <w:rPr>
          <w:rFonts w:ascii="Lato" w:cs="Lato" w:eastAsia="Lato" w:hAnsi="Lato"/>
          <w:color w:val="1A1A1A"/>
          <w:sz w:val="22"/>
          <w:szCs w:val="22"/>
        </w:rPr>
        <w:t xml:space="preserve">The Association may withhold payment for any portion of an invoice in dispute on fifteen (15) business days’ written notice. The Parties shall meet in good faith to resolve.</w:t>
      </w:r>
    </w:p>
    <w:p>
      <w:pPr>
        <w:pStyle w:val="ListParagraph"/>
        <w:numPr>
          <w:ilvl w:val="0"/>
          <w:numId w:val="5"/>
        </w:numPr>
        <w:spacing w:after="100" w:before="60" w:line="300"/>
      </w:pPr>
      <w:r>
        <w:rPr>
          <w:rFonts w:ascii="Lato" w:cs="Lato" w:eastAsia="Lato" w:hAnsi="Lato"/>
          <w:color w:val="1A1A1A"/>
          <w:sz w:val="22"/>
          <w:szCs w:val="22"/>
        </w:rPr>
        <w:t xml:space="preserve">Vendor shall maintain records and make them available on reasonable request through the Performance Period and for one (1) year thereafter.</w:t>
      </w:r>
    </w:p>
    <w:p>
      <w:pPr>
        <w:spacing w:after="0" w:before="280"/>
      </w:pPr>
      <w:r>
        <w:rPr>
          <w:rFonts w:ascii="Lato" w:cs="Lato" w:eastAsia="Lato" w:hAnsi="Lato"/>
          <w:b/>
          <w:bCs/>
          <w:color w:val="C9A24A"/>
          <w:spacing w:val="120"/>
          <w:sz w:val="16"/>
          <w:szCs w:val="16"/>
        </w:rPr>
        <w:t xml:space="preserve">ARTICLE 5</w:t>
      </w:r>
    </w:p>
    <w:p>
      <w:pPr>
        <w:spacing w:after="60" w:before="0"/>
      </w:pPr>
      <w:r>
        <w:rPr>
          <w:rFonts w:ascii="Garamond" w:cs="Garamond" w:eastAsia="Garamond" w:hAnsi="Garamond"/>
          <w:b/>
          <w:bCs/>
          <w:color w:val="173F35"/>
          <w:sz w:val="30"/>
          <w:szCs w:val="30"/>
        </w:rPr>
        <w:t xml:space="preserve">Performance Standards and Reporting</w:t>
      </w:r>
    </w:p>
    <w:p>
      <w:pPr>
        <w:pBdr>
          <w:bottom w:val="single" w:color="C9A24A" w:sz="6" w:space="1"/>
        </w:pBdr>
        <w:spacing w:after="120" w:before="80"/>
      </w:pPr>
      <w:r>
        <w:t xml:space="preserve"/>
      </w:r>
    </w:p>
    <w:p>
      <w:pPr>
        <w:pStyle w:val="ListParagraph"/>
        <w:numPr>
          <w:ilvl w:val="0"/>
          <w:numId w:val="6"/>
        </w:numPr>
        <w:spacing w:after="100" w:before="60" w:line="300"/>
      </w:pPr>
      <w:r>
        <w:rPr>
          <w:rFonts w:ascii="Lato" w:cs="Lato" w:eastAsia="Lato" w:hAnsi="Lato"/>
          <w:color w:val="1A1A1A"/>
          <w:sz w:val="22"/>
          <w:szCs w:val="22"/>
        </w:rPr>
        <w:t xml:space="preserve">Vendor shall meet the quality standards stated in Section 3.4 of the Statement of Work, including: pool chemistry within Pool Code ranges at all times; no visible debris, biofilm, or algae on shells or waterlines at the end of any service visit; equipment room dry, organized, and OSHA HazCom-compliant; service log on site current and signed at each visit.</w:t>
      </w:r>
    </w:p>
    <w:p>
      <w:pPr>
        <w:pStyle w:val="ListParagraph"/>
        <w:numPr>
          <w:ilvl w:val="0"/>
          <w:numId w:val="6"/>
        </w:numPr>
        <w:spacing w:after="100" w:before="60" w:line="300"/>
      </w:pPr>
      <w:r>
        <w:rPr>
          <w:rFonts w:ascii="Lato" w:cs="Lato" w:eastAsia="Lato" w:hAnsi="Lato"/>
          <w:color w:val="1A1A1A"/>
          <w:sz w:val="22"/>
          <w:szCs w:val="22"/>
        </w:rPr>
        <w:t xml:space="preserve">Vendor shall provide a written monthly report to the Manager within five (5) business days of month-end, including water-test summaries, mechanical observations, and any deficiency photographs.</w:t>
      </w:r>
    </w:p>
    <w:p>
      <w:pPr>
        <w:pStyle w:val="ListParagraph"/>
        <w:numPr>
          <w:ilvl w:val="0"/>
          <w:numId w:val="6"/>
        </w:numPr>
        <w:spacing w:after="100" w:before="60" w:line="300"/>
      </w:pPr>
      <w:r>
        <w:rPr>
          <w:rFonts w:ascii="Lato" w:cs="Lato" w:eastAsia="Lato" w:hAnsi="Lato"/>
          <w:color w:val="1A1A1A"/>
          <w:sz w:val="22"/>
          <w:szCs w:val="22"/>
        </w:rPr>
        <w:t xml:space="preserve">Vendor shall acknowledge any service request in writing within forty-eight (48) hours of receipt. Emergency response shall be within four (4) hours of vendor notification.</w:t>
      </w:r>
    </w:p>
    <w:p>
      <w:pPr>
        <w:pStyle w:val="ListParagraph"/>
        <w:numPr>
          <w:ilvl w:val="0"/>
          <w:numId w:val="6"/>
        </w:numPr>
        <w:spacing w:after="100" w:before="60" w:line="300"/>
      </w:pPr>
      <w:r>
        <w:rPr>
          <w:rFonts w:ascii="Lato" w:cs="Lato" w:eastAsia="Lato" w:hAnsi="Lato"/>
          <w:color w:val="1A1A1A"/>
          <w:sz w:val="22"/>
          <w:szCs w:val="22"/>
        </w:rPr>
        <w:t xml:space="preserve">Persistent failure to meet the Pool Code chemistry standards, after written notice and a reasonable opportunity to cure, shall constitute a material breach under Article 9.</w:t>
      </w:r>
    </w:p>
    <w:p>
      <w:pPr>
        <w:spacing w:after="0" w:before="280"/>
      </w:pPr>
      <w:r>
        <w:rPr>
          <w:rFonts w:ascii="Lato" w:cs="Lato" w:eastAsia="Lato" w:hAnsi="Lato"/>
          <w:b/>
          <w:bCs/>
          <w:color w:val="C9A24A"/>
          <w:spacing w:val="120"/>
          <w:sz w:val="16"/>
          <w:szCs w:val="16"/>
        </w:rPr>
        <w:t xml:space="preserve">ARTICLE 6</w:t>
      </w:r>
    </w:p>
    <w:p>
      <w:pPr>
        <w:spacing w:after="60" w:before="0"/>
      </w:pPr>
      <w:r>
        <w:rPr>
          <w:rFonts w:ascii="Garamond" w:cs="Garamond" w:eastAsia="Garamond" w:hAnsi="Garamond"/>
          <w:b/>
          <w:bCs/>
          <w:color w:val="173F35"/>
          <w:sz w:val="30"/>
          <w:szCs w:val="30"/>
        </w:rPr>
        <w:t xml:space="preserve">Personnel, Subcontractors, and Independent Contractor Status</w:t>
      </w:r>
    </w:p>
    <w:p>
      <w:pPr>
        <w:pBdr>
          <w:bottom w:val="single" w:color="C9A24A" w:sz="6" w:space="1"/>
        </w:pBdr>
        <w:spacing w:after="120" w:before="80"/>
      </w:pPr>
      <w:r>
        <w:t xml:space="preserve"/>
      </w:r>
    </w:p>
    <w:p>
      <w:pPr>
        <w:pStyle w:val="ListParagraph"/>
        <w:numPr>
          <w:ilvl w:val="0"/>
          <w:numId w:val="7"/>
        </w:numPr>
        <w:spacing w:after="100" w:before="60" w:line="300"/>
      </w:pPr>
      <w:r>
        <w:rPr>
          <w:rFonts w:ascii="Lato" w:cs="Lato" w:eastAsia="Lato" w:hAnsi="Lato"/>
          <w:color w:val="1A1A1A"/>
          <w:sz w:val="22"/>
          <w:szCs w:val="22"/>
        </w:rPr>
        <w:t xml:space="preserve">Vendor’s Account Manager dedicated to the Association is Patricia Alvarez, reachable at (239) 555-0162 / p.alvarez@naplespoolpros.example.</w:t>
      </w:r>
    </w:p>
    <w:p>
      <w:pPr>
        <w:pStyle w:val="ListParagraph"/>
        <w:numPr>
          <w:ilvl w:val="0"/>
          <w:numId w:val="7"/>
        </w:numPr>
        <w:spacing w:after="100" w:before="60" w:line="300"/>
      </w:pPr>
      <w:r>
        <w:rPr>
          <w:rFonts w:ascii="Lato" w:cs="Lato" w:eastAsia="Lato" w:hAnsi="Lato"/>
          <w:color w:val="1A1A1A"/>
          <w:sz w:val="22"/>
          <w:szCs w:val="22"/>
        </w:rPr>
        <w:t xml:space="preserve">Vendor’s Lead Pool Technician is Eduardo Castillo, CPO and Aquatic Facility Operator, reachable at (239) 555-0163 during service hours.</w:t>
      </w:r>
    </w:p>
    <w:p>
      <w:pPr>
        <w:pStyle w:val="ListParagraph"/>
        <w:numPr>
          <w:ilvl w:val="0"/>
          <w:numId w:val="7"/>
        </w:numPr>
        <w:spacing w:after="100" w:before="60" w:line="300"/>
      </w:pPr>
      <w:r>
        <w:rPr>
          <w:rFonts w:ascii="Lato" w:cs="Lato" w:eastAsia="Lato" w:hAnsi="Lato"/>
          <w:color w:val="1A1A1A"/>
          <w:sz w:val="22"/>
          <w:szCs w:val="22"/>
        </w:rPr>
        <w:t xml:space="preserve">Vendor’s Qualifying Agent (FL DBPR Commercial Pool / Spa Servicing Contractor license # 1234567) is Patricia Alvarez.</w:t>
      </w:r>
    </w:p>
    <w:p>
      <w:pPr>
        <w:pStyle w:val="ListParagraph"/>
        <w:numPr>
          <w:ilvl w:val="0"/>
          <w:numId w:val="7"/>
        </w:numPr>
        <w:spacing w:after="100" w:before="60" w:line="300"/>
      </w:pPr>
      <w:r>
        <w:rPr>
          <w:rFonts w:ascii="Lato" w:cs="Lato" w:eastAsia="Lato" w:hAnsi="Lato"/>
          <w:color w:val="1A1A1A"/>
          <w:sz w:val="22"/>
          <w:szCs w:val="22"/>
        </w:rPr>
        <w:t xml:space="preserve">Vendor is an independent contractor. Nothing in this Agreement creates an employer-employee, partnership, joint venture, or agency relationship between the Parties.</w:t>
      </w:r>
    </w:p>
    <w:p>
      <w:pPr>
        <w:pStyle w:val="ListParagraph"/>
        <w:numPr>
          <w:ilvl w:val="0"/>
          <w:numId w:val="7"/>
        </w:numPr>
        <w:spacing w:after="100" w:before="60" w:line="300"/>
      </w:pPr>
      <w:r>
        <w:rPr>
          <w:rFonts w:ascii="Lato" w:cs="Lato" w:eastAsia="Lato" w:hAnsi="Lato"/>
          <w:color w:val="1A1A1A"/>
          <w:sz w:val="22"/>
          <w:szCs w:val="22"/>
        </w:rPr>
        <w:t xml:space="preserve">Vendor shall not subcontract without the Manager’s prior written consent.</w:t>
      </w:r>
    </w:p>
    <w:p>
      <w:pPr>
        <w:pStyle w:val="ListParagraph"/>
        <w:numPr>
          <w:ilvl w:val="0"/>
          <w:numId w:val="7"/>
        </w:numPr>
        <w:spacing w:after="100" w:before="60" w:line="300"/>
      </w:pPr>
      <w:r>
        <w:rPr>
          <w:rFonts w:ascii="Lato" w:cs="Lato" w:eastAsia="Lato" w:hAnsi="Lato"/>
          <w:color w:val="1A1A1A"/>
          <w:sz w:val="22"/>
          <w:szCs w:val="22"/>
        </w:rPr>
        <w:t xml:space="preserve">Neither Party shall solicit for employment any person then employed by the other during the Performance Period and for twelve (12) months thereafter, without prior written consent.</w:t>
      </w:r>
    </w:p>
    <w:p>
      <w:pPr>
        <w:spacing w:after="0" w:before="280"/>
      </w:pPr>
      <w:r>
        <w:rPr>
          <w:rFonts w:ascii="Lato" w:cs="Lato" w:eastAsia="Lato" w:hAnsi="Lato"/>
          <w:b/>
          <w:bCs/>
          <w:color w:val="C9A24A"/>
          <w:spacing w:val="120"/>
          <w:sz w:val="16"/>
          <w:szCs w:val="16"/>
        </w:rPr>
        <w:t xml:space="preserve">ARTICLE 7</w:t>
      </w:r>
    </w:p>
    <w:p>
      <w:pPr>
        <w:spacing w:after="60" w:before="0"/>
      </w:pPr>
      <w:r>
        <w:rPr>
          <w:rFonts w:ascii="Garamond" w:cs="Garamond" w:eastAsia="Garamond" w:hAnsi="Garamond"/>
          <w:b/>
          <w:bCs/>
          <w:color w:val="173F35"/>
          <w:sz w:val="30"/>
          <w:szCs w:val="30"/>
        </w:rPr>
        <w:t xml:space="preserve">Insurance</w:t>
      </w:r>
    </w:p>
    <w:p>
      <w:pPr>
        <w:pBdr>
          <w:bottom w:val="single" w:color="C9A24A" w:sz="6" w:space="1"/>
        </w:pBdr>
        <w:spacing w:after="120" w:before="80"/>
      </w:pPr>
      <w:r>
        <w:t xml:space="preserve"/>
      </w:r>
    </w:p>
    <w:p>
      <w:pPr>
        <w:pStyle w:val="ListParagraph"/>
        <w:numPr>
          <w:ilvl w:val="0"/>
          <w:numId w:val="8"/>
        </w:numPr>
        <w:spacing w:after="100" w:before="60" w:line="300"/>
      </w:pPr>
      <w:r>
        <w:rPr>
          <w:rFonts w:ascii="Lato" w:cs="Lato" w:eastAsia="Lato" w:hAnsi="Lato"/>
          <w:color w:val="1A1A1A"/>
          <w:sz w:val="22"/>
          <w:szCs w:val="22"/>
        </w:rPr>
        <w:t xml:space="preserve">Vendor shall maintain, throughout the Performance Period: Commercial General Liability of not less than $1,000,000 per occurrence and $2,000,000 aggregate; Commercial Auto Liability of not less than $1,000,000 combined single limit; Workers’ Compensation at the Florida statutory limit and Employer’s Liability of not less than $1,000,000 per accident/disease/disease policy limit; Pollution / Chemical Liability of not less than $1,000,000 per occurrence; and Umbrella / Excess Liability of not less than $5,000,000 (Vendor’s elected limit exceeds the RFP minimum).</w:t>
      </w:r>
    </w:p>
    <w:p>
      <w:pPr>
        <w:pStyle w:val="ListParagraph"/>
        <w:numPr>
          <w:ilvl w:val="0"/>
          <w:numId w:val="8"/>
        </w:numPr>
        <w:spacing w:after="100" w:before="60" w:line="300"/>
      </w:pPr>
      <w:r>
        <w:rPr>
          <w:rFonts w:ascii="Lato" w:cs="Lato" w:eastAsia="Lato" w:hAnsi="Lato"/>
          <w:color w:val="1A1A1A"/>
          <w:sz w:val="22"/>
          <w:szCs w:val="22"/>
        </w:rPr>
        <w:t xml:space="preserve">Tarpon Bay Condominium Association, Inc. and its Board, Manager, and Tarpon Bay Property Management LLC shall be named as additional insureds on the Commercial General Liability and Commercial Auto Liability policies on a primary, non-contributory basis.</w:t>
      </w:r>
    </w:p>
    <w:p>
      <w:pPr>
        <w:pStyle w:val="ListParagraph"/>
        <w:numPr>
          <w:ilvl w:val="0"/>
          <w:numId w:val="8"/>
        </w:numPr>
        <w:spacing w:after="100" w:before="60" w:line="300"/>
      </w:pPr>
      <w:r>
        <w:rPr>
          <w:rFonts w:ascii="Lato" w:cs="Lato" w:eastAsia="Lato" w:hAnsi="Lato"/>
          <w:color w:val="1A1A1A"/>
          <w:sz w:val="22"/>
          <w:szCs w:val="22"/>
        </w:rPr>
        <w:t xml:space="preserve">Certificates of Insurance shall be delivered before commencement and at each renewal.</w:t>
      </w:r>
    </w:p>
    <w:p>
      <w:pPr>
        <w:pStyle w:val="ListParagraph"/>
        <w:numPr>
          <w:ilvl w:val="0"/>
          <w:numId w:val="8"/>
        </w:numPr>
        <w:spacing w:after="100" w:before="60" w:line="300"/>
      </w:pPr>
      <w:r>
        <w:rPr>
          <w:rFonts w:ascii="Lato" w:cs="Lato" w:eastAsia="Lato" w:hAnsi="Lato"/>
          <w:color w:val="1A1A1A"/>
          <w:sz w:val="22"/>
          <w:szCs w:val="22"/>
        </w:rPr>
        <w:t xml:space="preserve">Each policy shall provide thirty (30) days’ written notice in the event of cancellation or material change.</w:t>
      </w:r>
    </w:p>
    <w:p>
      <w:pPr>
        <w:pStyle w:val="ListParagraph"/>
        <w:numPr>
          <w:ilvl w:val="0"/>
          <w:numId w:val="8"/>
        </w:numPr>
        <w:spacing w:after="100" w:before="60" w:line="300"/>
      </w:pPr>
      <w:r>
        <w:rPr>
          <w:rFonts w:ascii="Lato" w:cs="Lato" w:eastAsia="Lato" w:hAnsi="Lato"/>
          <w:color w:val="1A1A1A"/>
          <w:sz w:val="22"/>
          <w:szCs w:val="22"/>
        </w:rPr>
        <w:t xml:space="preserve">Vendor’s insurance obligations are not limited by the indemnification obligations in Article 8.</w:t>
      </w:r>
    </w:p>
    <w:p>
      <w:pPr>
        <w:pStyle w:val="ListParagraph"/>
        <w:numPr>
          <w:ilvl w:val="0"/>
          <w:numId w:val="8"/>
        </w:numPr>
        <w:spacing w:after="100" w:before="60" w:line="300"/>
      </w:pPr>
      <w:r>
        <w:rPr>
          <w:rFonts w:ascii="Lato" w:cs="Lato" w:eastAsia="Lato" w:hAnsi="Lato"/>
          <w:color w:val="1A1A1A"/>
          <w:sz w:val="22"/>
          <w:szCs w:val="22"/>
        </w:rPr>
        <w:t xml:space="preserve">The Parties acknowledge that the Association maintains the master condominium insurance policy required by Fla. Stat. § 718.111(11), which is separate from and not in lieu of Vendor’s coverage.</w:t>
      </w:r>
    </w:p>
    <w:p>
      <w:pPr>
        <w:spacing w:after="0" w:before="280"/>
      </w:pPr>
      <w:r>
        <w:rPr>
          <w:rFonts w:ascii="Lato" w:cs="Lato" w:eastAsia="Lato" w:hAnsi="Lato"/>
          <w:b/>
          <w:bCs/>
          <w:color w:val="C9A24A"/>
          <w:spacing w:val="120"/>
          <w:sz w:val="16"/>
          <w:szCs w:val="16"/>
        </w:rPr>
        <w:t xml:space="preserve">ARTICLE 8</w:t>
      </w:r>
    </w:p>
    <w:p>
      <w:pPr>
        <w:spacing w:after="60" w:before="0"/>
      </w:pPr>
      <w:r>
        <w:rPr>
          <w:rFonts w:ascii="Garamond" w:cs="Garamond" w:eastAsia="Garamond" w:hAnsi="Garamond"/>
          <w:b/>
          <w:bCs/>
          <w:color w:val="173F35"/>
          <w:sz w:val="30"/>
          <w:szCs w:val="30"/>
        </w:rPr>
        <w:t xml:space="preserve">Indemnification</w:t>
      </w:r>
    </w:p>
    <w:p>
      <w:pPr>
        <w:pBdr>
          <w:bottom w:val="single" w:color="C9A24A" w:sz="6" w:space="1"/>
        </w:pBdr>
        <w:spacing w:after="120" w:before="80"/>
      </w:pPr>
      <w:r>
        <w:t xml:space="preserve"/>
      </w:r>
    </w:p>
    <w:p>
      <w:pPr>
        <w:pStyle w:val="ListParagraph"/>
        <w:numPr>
          <w:ilvl w:val="0"/>
          <w:numId w:val="9"/>
        </w:numPr>
        <w:spacing w:after="100" w:before="60" w:line="300"/>
      </w:pPr>
      <w:r>
        <w:rPr>
          <w:rFonts w:ascii="Lato" w:cs="Lato" w:eastAsia="Lato" w:hAnsi="Lato"/>
          <w:color w:val="1A1A1A"/>
          <w:sz w:val="22"/>
          <w:szCs w:val="22"/>
        </w:rPr>
        <w:t xml:space="preserve">To the fullest extent permitted by Florida law, Vendor shall defend, indemnify, and hold harmless the Association, its Board, Officers, Committee Members, Manager, Managing Agent, and their respective agents and employees (each an “Indemnified Party”) from and against any and all claims, demands, suits, judgments, losses, liabilities, damages, costs, and expenses (including reasonable attorneys’ fees) arising out of or resulting from: (a) Vendor’s performance or breach of this Agreement; (b) any negligent, reckless, or intentionally wrongful act or omission of Vendor or any of its officers, employees, agents, or subcontractors; (c) any property damage or bodily injury caused by Vendor or those for whom Vendor is responsible; or (d) any violation of applicable law by Vendor, including the Pool Code.</w:t>
      </w:r>
    </w:p>
    <w:p>
      <w:pPr>
        <w:pStyle w:val="ListParagraph"/>
        <w:numPr>
          <w:ilvl w:val="0"/>
          <w:numId w:val="9"/>
        </w:numPr>
        <w:spacing w:after="100" w:before="60" w:line="300"/>
      </w:pPr>
      <w:r>
        <w:rPr>
          <w:rFonts w:ascii="Lato" w:cs="Lato" w:eastAsia="Lato" w:hAnsi="Lato"/>
          <w:color w:val="1A1A1A"/>
          <w:sz w:val="22"/>
          <w:szCs w:val="22"/>
        </w:rPr>
        <w:t xml:space="preserve">Vendor’s indemnification obligations apply regardless of whether an Indemnified Party’s own negligence is alleged to have contributed to the claim, except to the extent caused by the sole negligence or willful misconduct of the Indemnified Party.</w:t>
      </w:r>
    </w:p>
    <w:p>
      <w:pPr>
        <w:pStyle w:val="ListParagraph"/>
        <w:numPr>
          <w:ilvl w:val="0"/>
          <w:numId w:val="9"/>
        </w:numPr>
        <w:spacing w:after="100" w:before="60" w:line="300"/>
      </w:pPr>
      <w:r>
        <w:rPr>
          <w:rFonts w:ascii="Lato" w:cs="Lato" w:eastAsia="Lato" w:hAnsi="Lato"/>
          <w:color w:val="1A1A1A"/>
          <w:sz w:val="22"/>
          <w:szCs w:val="22"/>
        </w:rPr>
        <w:t xml:space="preserve">An Indemnified Party shall provide prompt written notice of any claim subject to indemnification and reasonable cooperation in the defense.</w:t>
      </w:r>
    </w:p>
    <w:p>
      <w:pPr>
        <w:spacing w:after="0" w:before="280"/>
      </w:pPr>
      <w:r>
        <w:rPr>
          <w:rFonts w:ascii="Lato" w:cs="Lato" w:eastAsia="Lato" w:hAnsi="Lato"/>
          <w:b/>
          <w:bCs/>
          <w:color w:val="C9A24A"/>
          <w:spacing w:val="120"/>
          <w:sz w:val="16"/>
          <w:szCs w:val="16"/>
        </w:rPr>
        <w:t xml:space="preserve">ARTICLE 9</w:t>
      </w:r>
    </w:p>
    <w:p>
      <w:pPr>
        <w:spacing w:after="60" w:before="0"/>
      </w:pPr>
      <w:r>
        <w:rPr>
          <w:rFonts w:ascii="Garamond" w:cs="Garamond" w:eastAsia="Garamond" w:hAnsi="Garamond"/>
          <w:b/>
          <w:bCs/>
          <w:color w:val="173F35"/>
          <w:sz w:val="30"/>
          <w:szCs w:val="30"/>
        </w:rPr>
        <w:t xml:space="preserve">Default, Cure, and Termination</w:t>
      </w:r>
    </w:p>
    <w:p>
      <w:pPr>
        <w:pBdr>
          <w:bottom w:val="single" w:color="C9A24A" w:sz="6" w:space="1"/>
        </w:pBdr>
        <w:spacing w:after="120" w:before="80"/>
      </w:pPr>
      <w:r>
        <w:t xml:space="preserve"/>
      </w:r>
    </w:p>
    <w:p>
      <w:pPr>
        <w:pStyle w:val="ListParagraph"/>
        <w:numPr>
          <w:ilvl w:val="0"/>
          <w:numId w:val="10"/>
        </w:numPr>
        <w:spacing w:after="100" w:before="60" w:line="300"/>
      </w:pPr>
      <w:r>
        <w:rPr>
          <w:rFonts w:ascii="Lato" w:cs="Lato" w:eastAsia="Lato" w:hAnsi="Lato"/>
          <w:color w:val="1A1A1A"/>
          <w:sz w:val="22"/>
          <w:szCs w:val="22"/>
        </w:rPr>
        <w:t xml:space="preserve">“Material Breach” means: (a) failure to perform any material obligation under this Agreement, including failure to maintain Pool Code chemistry; (b) failure to maintain the insurance coverages required by Article 7; (c) violation of applicable law in a manner that materially affects performance; (d) any assignment for the benefit of creditors or filing of bankruptcy by Vendor; or (e) any other event that the Parties expressly designate in writing as a Material Breach.</w:t>
      </w:r>
    </w:p>
    <w:p>
      <w:pPr>
        <w:pStyle w:val="ListParagraph"/>
        <w:numPr>
          <w:ilvl w:val="0"/>
          <w:numId w:val="10"/>
        </w:numPr>
        <w:spacing w:after="100" w:before="60" w:line="300"/>
      </w:pPr>
      <w:r>
        <w:rPr>
          <w:rFonts w:ascii="Lato" w:cs="Lato" w:eastAsia="Lato" w:hAnsi="Lato"/>
          <w:color w:val="1A1A1A"/>
          <w:sz w:val="22"/>
          <w:szCs w:val="22"/>
        </w:rPr>
        <w:t xml:space="preserve">Upon notice of a Material Breach, the breaching Party shall have ten (10) calendar days from receipt of written notice to cure.</w:t>
      </w:r>
    </w:p>
    <w:p>
      <w:pPr>
        <w:pStyle w:val="ListParagraph"/>
        <w:numPr>
          <w:ilvl w:val="0"/>
          <w:numId w:val="10"/>
        </w:numPr>
        <w:spacing w:after="100" w:before="60" w:line="300"/>
      </w:pPr>
      <w:r>
        <w:rPr>
          <w:rFonts w:ascii="Lato" w:cs="Lato" w:eastAsia="Lato" w:hAnsi="Lato"/>
          <w:color w:val="1A1A1A"/>
          <w:sz w:val="22"/>
          <w:szCs w:val="22"/>
        </w:rPr>
        <w:t xml:space="preserve">Termination for Cause. Either Party may terminate this Agreement immediately on written notice if the breaching Party fails to cure a Material Breach within the cure period.</w:t>
      </w:r>
    </w:p>
    <w:p>
      <w:pPr>
        <w:pStyle w:val="ListParagraph"/>
        <w:numPr>
          <w:ilvl w:val="0"/>
          <w:numId w:val="10"/>
        </w:numPr>
        <w:spacing w:after="100" w:before="60" w:line="300"/>
      </w:pPr>
      <w:r>
        <w:rPr>
          <w:rFonts w:ascii="Lato" w:cs="Lato" w:eastAsia="Lato" w:hAnsi="Lato"/>
          <w:color w:val="1A1A1A"/>
          <w:sz w:val="22"/>
          <w:szCs w:val="22"/>
        </w:rPr>
        <w:t xml:space="preserve">Termination for Convenience. The Association may terminate this Agreement at any time, with or without cause, on thirty (30) days’ written notice to Vendor, without penalty. Vendor may terminate on sixty (60) days’ written notice.</w:t>
      </w:r>
    </w:p>
    <w:p>
      <w:pPr>
        <w:pStyle w:val="ListParagraph"/>
        <w:numPr>
          <w:ilvl w:val="0"/>
          <w:numId w:val="10"/>
        </w:numPr>
        <w:spacing w:after="100" w:before="60" w:line="300"/>
      </w:pPr>
      <w:r>
        <w:rPr>
          <w:rFonts w:ascii="Lato" w:cs="Lato" w:eastAsia="Lato" w:hAnsi="Lato"/>
          <w:color w:val="1A1A1A"/>
          <w:sz w:val="22"/>
          <w:szCs w:val="22"/>
        </w:rPr>
        <w:t xml:space="preserve">Effect of Termination. Vendor shall be paid the prorated portion of the monthly fee through the effective date of termination, plus the cost of any approved work order completed before that date.</w:t>
      </w:r>
    </w:p>
    <w:p>
      <w:pPr>
        <w:pStyle w:val="ListParagraph"/>
        <w:numPr>
          <w:ilvl w:val="0"/>
          <w:numId w:val="10"/>
        </w:numPr>
        <w:spacing w:after="100" w:before="60" w:line="300"/>
      </w:pPr>
      <w:r>
        <w:rPr>
          <w:rFonts w:ascii="Lato" w:cs="Lato" w:eastAsia="Lato" w:hAnsi="Lato"/>
          <w:color w:val="1A1A1A"/>
          <w:sz w:val="22"/>
          <w:szCs w:val="22"/>
        </w:rPr>
        <w:t xml:space="preserve">Survival. Articles 7, 8, 10, 11, 12, and 13 survive termination.</w:t>
      </w:r>
    </w:p>
    <w:p>
      <w:pPr>
        <w:spacing w:after="0" w:before="280"/>
      </w:pPr>
      <w:r>
        <w:rPr>
          <w:rFonts w:ascii="Lato" w:cs="Lato" w:eastAsia="Lato" w:hAnsi="Lato"/>
          <w:b/>
          <w:bCs/>
          <w:color w:val="C9A24A"/>
          <w:spacing w:val="120"/>
          <w:sz w:val="16"/>
          <w:szCs w:val="16"/>
        </w:rPr>
        <w:t xml:space="preserve">ARTICLE 10</w:t>
      </w:r>
    </w:p>
    <w:p>
      <w:pPr>
        <w:spacing w:after="60" w:before="0"/>
      </w:pPr>
      <w:r>
        <w:rPr>
          <w:rFonts w:ascii="Garamond" w:cs="Garamond" w:eastAsia="Garamond" w:hAnsi="Garamond"/>
          <w:b/>
          <w:bCs/>
          <w:color w:val="173F35"/>
          <w:sz w:val="30"/>
          <w:szCs w:val="30"/>
        </w:rPr>
        <w:t xml:space="preserve">Confidentiality and Conflicts of Interest</w:t>
      </w:r>
    </w:p>
    <w:p>
      <w:pPr>
        <w:pBdr>
          <w:bottom w:val="single" w:color="C9A24A" w:sz="6" w:space="1"/>
        </w:pBdr>
        <w:spacing w:after="120" w:before="80"/>
      </w:pPr>
      <w:r>
        <w:t xml:space="preserve"/>
      </w:r>
    </w:p>
    <w:p>
      <w:pPr>
        <w:pStyle w:val="ListParagraph"/>
        <w:numPr>
          <w:ilvl w:val="0"/>
          <w:numId w:val="11"/>
        </w:numPr>
        <w:spacing w:after="100" w:before="60" w:line="300"/>
      </w:pPr>
      <w:r>
        <w:rPr>
          <w:rFonts w:ascii="Lato" w:cs="Lato" w:eastAsia="Lato" w:hAnsi="Lato"/>
          <w:color w:val="1A1A1A"/>
          <w:sz w:val="22"/>
          <w:szCs w:val="22"/>
        </w:rPr>
        <w:t xml:space="preserve">Vendor shall safeguard non-public information about the Association, its members, residents, employees, and finances.</w:t>
      </w:r>
    </w:p>
    <w:p>
      <w:pPr>
        <w:pStyle w:val="ListParagraph"/>
        <w:numPr>
          <w:ilvl w:val="0"/>
          <w:numId w:val="11"/>
        </w:numPr>
        <w:spacing w:after="100" w:before="60" w:line="300"/>
      </w:pPr>
      <w:r>
        <w:rPr>
          <w:rFonts w:ascii="Lato" w:cs="Lato" w:eastAsia="Lato" w:hAnsi="Lato"/>
          <w:color w:val="1A1A1A"/>
          <w:sz w:val="22"/>
          <w:szCs w:val="22"/>
        </w:rPr>
        <w:t xml:space="preserve">Vendor’s officers and key personnel shall comply with the Association’s Code of Ethics.</w:t>
      </w:r>
    </w:p>
    <w:p>
      <w:pPr>
        <w:pStyle w:val="ListParagraph"/>
        <w:numPr>
          <w:ilvl w:val="0"/>
          <w:numId w:val="11"/>
        </w:numPr>
        <w:spacing w:after="100" w:before="60" w:line="300"/>
      </w:pPr>
      <w:r>
        <w:rPr>
          <w:rFonts w:ascii="Lato" w:cs="Lato" w:eastAsia="Lato" w:hAnsi="Lato"/>
          <w:color w:val="1A1A1A"/>
          <w:sz w:val="22"/>
          <w:szCs w:val="22"/>
        </w:rPr>
        <w:t xml:space="preserve">Vendor has confirmed in the Bid Authorization &amp; Affidavit (Exhibit C) that no Vendor owner, officer, employee, or relative within the third degree of consanguinity or affinity has a current or prior relationship with any current Director, Officer, Committee Member, or Manager of the Association. Vendor shall promptly disclose any conflict that arises during the Performance Period to the Manager and follow the procedures of Fla. Stat. §§ 718.3027 and 720.3033 as applicable.</w:t>
      </w:r>
    </w:p>
    <w:p>
      <w:pPr>
        <w:spacing w:after="0" w:before="280"/>
      </w:pPr>
      <w:r>
        <w:rPr>
          <w:rFonts w:ascii="Lato" w:cs="Lato" w:eastAsia="Lato" w:hAnsi="Lato"/>
          <w:b/>
          <w:bCs/>
          <w:color w:val="C9A24A"/>
          <w:spacing w:val="120"/>
          <w:sz w:val="16"/>
          <w:szCs w:val="16"/>
        </w:rPr>
        <w:t xml:space="preserve">ARTICLE 11</w:t>
      </w:r>
    </w:p>
    <w:p>
      <w:pPr>
        <w:spacing w:after="60" w:before="0"/>
      </w:pPr>
      <w:r>
        <w:rPr>
          <w:rFonts w:ascii="Garamond" w:cs="Garamond" w:eastAsia="Garamond" w:hAnsi="Garamond"/>
          <w:b/>
          <w:bCs/>
          <w:color w:val="173F35"/>
          <w:sz w:val="30"/>
          <w:szCs w:val="30"/>
        </w:rPr>
        <w:t xml:space="preserve">Lien Waivers and Mechanic’s Lien Protection</w:t>
      </w:r>
    </w:p>
    <w:p>
      <w:pPr>
        <w:pBdr>
          <w:bottom w:val="single" w:color="C9A24A" w:sz="6" w:space="1"/>
        </w:pBdr>
        <w:spacing w:after="120" w:before="80"/>
      </w:pPr>
      <w:r>
        <w:t xml:space="preserve"/>
      </w:r>
    </w:p>
    <w:p>
      <w:pPr>
        <w:pStyle w:val="ListParagraph"/>
        <w:numPr>
          <w:ilvl w:val="0"/>
          <w:numId w:val="12"/>
        </w:numPr>
        <w:spacing w:after="100" w:before="60" w:line="300"/>
      </w:pPr>
      <w:r>
        <w:rPr>
          <w:rFonts w:ascii="Lato" w:cs="Lato" w:eastAsia="Lato" w:hAnsi="Lato"/>
          <w:color w:val="1A1A1A"/>
          <w:sz w:val="22"/>
          <w:szCs w:val="22"/>
        </w:rPr>
        <w:t xml:space="preserve">On final payment for any work giving rise to lien rights under Florida Statutes Chapter 713, Vendor shall furnish unconditional final lien waivers (in form acceptable to the Association) from Vendor and from each subcontractor or supplier providing labor or materials in connection with the work.</w:t>
      </w:r>
    </w:p>
    <w:p>
      <w:pPr>
        <w:pStyle w:val="ListParagraph"/>
        <w:numPr>
          <w:ilvl w:val="0"/>
          <w:numId w:val="12"/>
        </w:numPr>
        <w:spacing w:after="100" w:before="60" w:line="300"/>
      </w:pPr>
      <w:r>
        <w:rPr>
          <w:rFonts w:ascii="Lato" w:cs="Lato" w:eastAsia="Lato" w:hAnsi="Lato"/>
          <w:color w:val="1A1A1A"/>
          <w:sz w:val="22"/>
          <w:szCs w:val="22"/>
        </w:rPr>
        <w:t xml:space="preserve">Vendor shall promptly bond off or discharge any lien filed against the Association’s property by Vendor or any subcontractor or supplier of Vendor.</w:t>
      </w:r>
    </w:p>
    <w:p>
      <w:pPr>
        <w:spacing w:after="0" w:before="280"/>
      </w:pPr>
      <w:r>
        <w:rPr>
          <w:rFonts w:ascii="Lato" w:cs="Lato" w:eastAsia="Lato" w:hAnsi="Lato"/>
          <w:b/>
          <w:bCs/>
          <w:color w:val="C9A24A"/>
          <w:spacing w:val="120"/>
          <w:sz w:val="16"/>
          <w:szCs w:val="16"/>
        </w:rPr>
        <w:t xml:space="preserve">ARTICLE 12</w:t>
      </w:r>
    </w:p>
    <w:p>
      <w:pPr>
        <w:spacing w:after="60" w:before="0"/>
      </w:pPr>
      <w:r>
        <w:rPr>
          <w:rFonts w:ascii="Garamond" w:cs="Garamond" w:eastAsia="Garamond" w:hAnsi="Garamond"/>
          <w:b/>
          <w:bCs/>
          <w:color w:val="173F35"/>
          <w:sz w:val="30"/>
          <w:szCs w:val="30"/>
        </w:rPr>
        <w:t xml:space="preserve">Governing Law, Venue, and Notices</w:t>
      </w:r>
    </w:p>
    <w:p>
      <w:pPr>
        <w:pBdr>
          <w:bottom w:val="single" w:color="C9A24A" w:sz="6" w:space="1"/>
        </w:pBdr>
        <w:spacing w:after="120" w:before="80"/>
      </w:pPr>
      <w:r>
        <w:t xml:space="preserve"/>
      </w:r>
    </w:p>
    <w:p>
      <w:pPr>
        <w:pStyle w:val="ListParagraph"/>
        <w:numPr>
          <w:ilvl w:val="0"/>
          <w:numId w:val="13"/>
        </w:numPr>
        <w:spacing w:after="100" w:before="60" w:line="300"/>
      </w:pPr>
      <w:r>
        <w:rPr>
          <w:rFonts w:ascii="Lato" w:cs="Lato" w:eastAsia="Lato" w:hAnsi="Lato"/>
          <w:color w:val="1A1A1A"/>
          <w:sz w:val="22"/>
          <w:szCs w:val="22"/>
        </w:rPr>
        <w:t xml:space="preserve">This Agreement shall be governed by and construed in accordance with the laws of the State of Florida.</w:t>
      </w:r>
    </w:p>
    <w:p>
      <w:pPr>
        <w:pStyle w:val="ListParagraph"/>
        <w:numPr>
          <w:ilvl w:val="0"/>
          <w:numId w:val="13"/>
        </w:numPr>
        <w:spacing w:after="100" w:before="60" w:line="300"/>
      </w:pPr>
      <w:r>
        <w:rPr>
          <w:rFonts w:ascii="Lato" w:cs="Lato" w:eastAsia="Lato" w:hAnsi="Lato"/>
          <w:color w:val="1A1A1A"/>
          <w:sz w:val="22"/>
          <w:szCs w:val="22"/>
        </w:rPr>
        <w:t xml:space="preserve">Exclusive venue lies in the state and federal courts located in Collier County, Florida.</w:t>
      </w:r>
    </w:p>
    <w:p>
      <w:pPr>
        <w:pStyle w:val="ListParagraph"/>
        <w:numPr>
          <w:ilvl w:val="0"/>
          <w:numId w:val="13"/>
        </w:numPr>
        <w:spacing w:after="100" w:before="60" w:line="300"/>
      </w:pPr>
      <w:r>
        <w:rPr>
          <w:rFonts w:ascii="Lato" w:cs="Lato" w:eastAsia="Lato" w:hAnsi="Lato"/>
          <w:color w:val="1A1A1A"/>
          <w:sz w:val="22"/>
          <w:szCs w:val="22"/>
        </w:rPr>
        <w:t xml:space="preserve">Notices shall be in writing and addressed to: Association — Tarpon Bay Condominium Association, Inc., c/o Marcus Hill, Association Manager, 1820 Tarpon Bay Drive, Naples, Florida 34104. Vendor — Naples Pool Pros, Inc., c/o Patricia Alvarez, 3825 Pine Ridge Road, Suite 200, Naples, Florida 34109.</w:t>
      </w:r>
    </w:p>
    <w:p>
      <w:pPr>
        <w:pStyle w:val="ListParagraph"/>
        <w:numPr>
          <w:ilvl w:val="0"/>
          <w:numId w:val="13"/>
        </w:numPr>
        <w:spacing w:after="100" w:before="60" w:line="300"/>
      </w:pPr>
      <w:r>
        <w:rPr>
          <w:rFonts w:ascii="Lato" w:cs="Lato" w:eastAsia="Lato" w:hAnsi="Lato"/>
          <w:color w:val="1A1A1A"/>
          <w:sz w:val="22"/>
          <w:szCs w:val="22"/>
        </w:rPr>
        <w:t xml:space="preserve">Notices are deemed given on personal delivery, one business day after deposit with a national overnight courier, or three business days after certified mail.</w:t>
      </w:r>
    </w:p>
    <w:p>
      <w:pPr>
        <w:spacing w:after="0" w:before="280"/>
      </w:pPr>
      <w:r>
        <w:rPr>
          <w:rFonts w:ascii="Lato" w:cs="Lato" w:eastAsia="Lato" w:hAnsi="Lato"/>
          <w:b/>
          <w:bCs/>
          <w:color w:val="C9A24A"/>
          <w:spacing w:val="120"/>
          <w:sz w:val="16"/>
          <w:szCs w:val="16"/>
        </w:rPr>
        <w:t xml:space="preserve">ARTICLE 13</w:t>
      </w:r>
    </w:p>
    <w:p>
      <w:pPr>
        <w:spacing w:after="60" w:before="0"/>
      </w:pPr>
      <w:r>
        <w:rPr>
          <w:rFonts w:ascii="Garamond" w:cs="Garamond" w:eastAsia="Garamond" w:hAnsi="Garamond"/>
          <w:b/>
          <w:bCs/>
          <w:color w:val="173F35"/>
          <w:sz w:val="30"/>
          <w:szCs w:val="30"/>
        </w:rPr>
        <w:t xml:space="preserve">General Provisions</w:t>
      </w:r>
    </w:p>
    <w:p>
      <w:pPr>
        <w:pBdr>
          <w:bottom w:val="single" w:color="C9A24A" w:sz="6" w:space="1"/>
        </w:pBdr>
        <w:spacing w:after="120" w:before="80"/>
      </w:pPr>
      <w:r>
        <w:t xml:space="preserve"/>
      </w:r>
    </w:p>
    <w:p>
      <w:pPr>
        <w:pStyle w:val="ListParagraph"/>
        <w:numPr>
          <w:ilvl w:val="0"/>
          <w:numId w:val="14"/>
        </w:numPr>
        <w:spacing w:after="100" w:before="60" w:line="300"/>
      </w:pPr>
      <w:r>
        <w:rPr>
          <w:rFonts w:ascii="Lato" w:cs="Lato" w:eastAsia="Lato" w:hAnsi="Lato"/>
          <w:color w:val="1A1A1A"/>
          <w:sz w:val="22"/>
          <w:szCs w:val="22"/>
        </w:rPr>
        <w:t xml:space="preserve">Entire Agreement. This Agreement, together with the RFP, the Vendor’s Proposal (including the Bid Sheet and the Bid Authorization &amp; Affidavit), and any duly executed amendments, constitutes the entire agreement between the Parties.</w:t>
      </w:r>
    </w:p>
    <w:p>
      <w:pPr>
        <w:pStyle w:val="ListParagraph"/>
        <w:numPr>
          <w:ilvl w:val="0"/>
          <w:numId w:val="14"/>
        </w:numPr>
        <w:spacing w:after="100" w:before="60" w:line="300"/>
      </w:pPr>
      <w:r>
        <w:rPr>
          <w:rFonts w:ascii="Lato" w:cs="Lato" w:eastAsia="Lato" w:hAnsi="Lato"/>
          <w:color w:val="1A1A1A"/>
          <w:sz w:val="22"/>
          <w:szCs w:val="22"/>
        </w:rPr>
        <w:t xml:space="preserve">Order of Precedence: (1) this Agreement; (2) executed written amendments; (3) the RFP and any addenda; (4) the Vendor’s Proposal.</w:t>
      </w:r>
    </w:p>
    <w:p>
      <w:pPr>
        <w:pStyle w:val="ListParagraph"/>
        <w:numPr>
          <w:ilvl w:val="0"/>
          <w:numId w:val="14"/>
        </w:numPr>
        <w:spacing w:after="100" w:before="60" w:line="300"/>
      </w:pPr>
      <w:r>
        <w:rPr>
          <w:rFonts w:ascii="Lato" w:cs="Lato" w:eastAsia="Lato" w:hAnsi="Lato"/>
          <w:color w:val="1A1A1A"/>
          <w:sz w:val="22"/>
          <w:szCs w:val="22"/>
        </w:rPr>
        <w:t xml:space="preserve">Amendments. Only by a written instrument signed by both Parties.</w:t>
      </w:r>
    </w:p>
    <w:p>
      <w:pPr>
        <w:pStyle w:val="ListParagraph"/>
        <w:numPr>
          <w:ilvl w:val="0"/>
          <w:numId w:val="14"/>
        </w:numPr>
        <w:spacing w:after="100" w:before="60" w:line="300"/>
      </w:pPr>
      <w:r>
        <w:rPr>
          <w:rFonts w:ascii="Lato" w:cs="Lato" w:eastAsia="Lato" w:hAnsi="Lato"/>
          <w:color w:val="1A1A1A"/>
          <w:sz w:val="22"/>
          <w:szCs w:val="22"/>
        </w:rPr>
        <w:t xml:space="preserve">Assignment. Neither Party may assign without the other’s prior written consent.</w:t>
      </w:r>
    </w:p>
    <w:p>
      <w:pPr>
        <w:pStyle w:val="ListParagraph"/>
        <w:numPr>
          <w:ilvl w:val="0"/>
          <w:numId w:val="14"/>
        </w:numPr>
        <w:spacing w:after="100" w:before="60" w:line="300"/>
      </w:pPr>
      <w:r>
        <w:rPr>
          <w:rFonts w:ascii="Lato" w:cs="Lato" w:eastAsia="Lato" w:hAnsi="Lato"/>
          <w:color w:val="1A1A1A"/>
          <w:sz w:val="22"/>
          <w:szCs w:val="22"/>
        </w:rPr>
        <w:t xml:space="preserve">Severability, Counterparts, Force Majeure: standard provisions apply. Electronic signatures are effective under Fla. Stat. § 668.50.</w:t>
      </w:r>
    </w:p>
    <w:p>
      <w:r>
        <w:br w:type="page"/>
      </w:r>
    </w:p>
    <w:p>
      <w:pPr>
        <w:spacing w:after="60" w:before="0"/>
      </w:pPr>
      <w:r>
        <w:rPr>
          <w:rFonts w:ascii="Lato" w:cs="Lato" w:eastAsia="Lato" w:hAnsi="Lato"/>
          <w:b/>
          <w:bCs/>
          <w:color w:val="C9A24A"/>
          <w:spacing w:val="100"/>
          <w:sz w:val="16"/>
          <w:szCs w:val="16"/>
        </w:rPr>
        <w:t xml:space="preserve">SECTION 14</w:t>
      </w:r>
    </w:p>
    <w:p>
      <w:pPr>
        <w:pStyle w:val="Heading1"/>
        <w:spacing w:after="160" w:before="280"/>
      </w:pPr>
      <w:r>
        <w:rPr>
          <w:rFonts w:ascii="Garamond" w:cs="Garamond" w:eastAsia="Garamond" w:hAnsi="Garamond"/>
          <w:b/>
          <w:bCs/>
          <w:color w:val="173F35"/>
          <w:sz w:val="40"/>
          <w:szCs w:val="40"/>
        </w:rPr>
        <w:t xml:space="preserve">Signatures</w:t>
      </w:r>
    </w:p>
    <w:p>
      <w:pPr>
        <w:pBdr>
          <w:bottom w:val="single" w:color="C9A24A" w:sz="8" w:space="1"/>
        </w:pBdr>
        <w:spacing w:after="120" w:before="80"/>
      </w:pPr>
      <w:r>
        <w:t xml:space="preserve"/>
      </w:r>
    </w:p>
    <w:p>
      <w:pPr>
        <w:spacing w:after="240" w:before="0" w:line="320"/>
        <w:jc w:val="left"/>
      </w:pPr>
      <w:r>
        <w:rPr>
          <w:rFonts w:ascii="Lato" w:cs="Lato" w:eastAsia="Lato" w:hAnsi="Lato"/>
          <w:color w:val="1A1A1A"/>
          <w:sz w:val="22"/>
          <w:szCs w:val="22"/>
        </w:rPr>
        <w:t xml:space="preserve">IN WITNESS WHEREOF, the Parties have caused this Agreement to be executed by their duly authorized representatives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73F35" w:sz="8"/>
              <w:left w:val="single" w:color="173F35" w:sz="24"/>
              <w:bottom w:val="single" w:color="173F35" w:sz="8"/>
              <w:right w:val="single" w:color="173F35" w:sz="4"/>
            </w:tcBorders>
            <w:shd w:fill="DDE7E2" w:color="auto" w:val="clear"/>
            <w:tcMar>
              <w:top w:type="dxa" w:w="240"/>
              <w:left w:type="dxa" w:w="240"/>
              <w:bottom w:type="dxa" w:w="240"/>
              <w:right w:type="dxa" w:w="240"/>
            </w:tcMar>
          </w:tcPr>
          <w:p>
            <w:pPr>
              <w:spacing w:after="120"/>
            </w:pPr>
            <w:r>
              <w:rPr>
                <w:rFonts w:ascii="Lato" w:cs="Lato" w:eastAsia="Lato" w:hAnsi="Lato"/>
                <w:b/>
                <w:bCs/>
                <w:color w:val="173F35"/>
                <w:spacing w:val="100"/>
                <w:sz w:val="16"/>
                <w:szCs w:val="16"/>
              </w:rPr>
              <w:t xml:space="preserve">ASSOCIATION</w:t>
            </w:r>
          </w:p>
          <w:p>
            <w:pPr>
              <w:spacing w:after="200" w:before="0" w:line="300"/>
              <w:jc w:val="left"/>
            </w:pPr>
            <w:r>
              <w:rPr>
                <w:rFonts w:ascii="Lato" w:cs="Lato" w:eastAsia="Lato" w:hAnsi="Lato"/>
                <w:b/>
                <w:bCs/>
                <w:color w:val="1A1A1A"/>
                <w:sz w:val="22"/>
                <w:szCs w:val="22"/>
              </w:rPr>
              <w:t xml:space="preserve">Tarpon Bay Condominium Association, Inc.</w:t>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1A1A1A"/>
                <w:sz w:val="18"/>
                <w:szCs w:val="18"/>
              </w:rPr>
              <w:t xml:space="preserve">Print Name: [President Name]</w:t>
            </w:r>
          </w:p>
          <w:p>
            <w:pPr>
              <w:spacing w:after="60" w:before="0" w:line="300"/>
              <w:jc w:val="left"/>
            </w:pPr>
            <w:r>
              <w:rPr>
                <w:rFonts w:ascii="Lato" w:cs="Lato" w:eastAsia="Lato" w:hAnsi="Lato"/>
                <w:color w:val="1A1A1A"/>
                <w:sz w:val="18"/>
                <w:szCs w:val="18"/>
              </w:rPr>
              <w:t xml:space="preserve">Title: Board President</w:t>
            </w:r>
          </w:p>
          <w:p>
            <w:pPr>
              <w:spacing w:after="0" w:before="0" w:line="300"/>
              <w:jc w:val="left"/>
            </w:pPr>
            <w:r>
              <w:rPr>
                <w:rFonts w:ascii="Lato" w:cs="Lato" w:eastAsia="Lato" w:hAnsi="Lato"/>
                <w:color w:val="5C5C5C"/>
                <w:sz w:val="18"/>
                <w:szCs w:val="18"/>
              </w:rPr>
              <w:t xml:space="preserve">Date: ____________________________________</w:t>
            </w:r>
          </w:p>
        </w:tc>
        <w:tc>
          <w:tcPr>
            <w:tcW w:type="dxa" w:w="4680"/>
            <w:tcBorders>
              <w:top w:val="single" w:color="C9A24A" w:sz="8"/>
              <w:left w:val="single" w:color="C9A24A" w:sz="24"/>
              <w:bottom w:val="single" w:color="C9A24A" w:sz="8"/>
              <w:right w:val="single" w:color="C9A24A" w:sz="4"/>
            </w:tcBorders>
            <w:shd w:fill="EAE2C7" w:color="auto" w:val="clear"/>
            <w:tcMar>
              <w:top w:type="dxa" w:w="240"/>
              <w:left w:type="dxa" w:w="240"/>
              <w:bottom w:type="dxa" w:w="240"/>
              <w:right w:type="dxa" w:w="240"/>
            </w:tcMar>
          </w:tcPr>
          <w:p>
            <w:pPr>
              <w:spacing w:after="120"/>
            </w:pPr>
            <w:r>
              <w:rPr>
                <w:rFonts w:ascii="Lato" w:cs="Lato" w:eastAsia="Lato" w:hAnsi="Lato"/>
                <w:b/>
                <w:bCs/>
                <w:color w:val="173F35"/>
                <w:spacing w:val="100"/>
                <w:sz w:val="16"/>
                <w:szCs w:val="16"/>
              </w:rPr>
              <w:t xml:space="preserve">VENDOR</w:t>
            </w:r>
          </w:p>
          <w:p>
            <w:pPr>
              <w:spacing w:after="200" w:before="0" w:line="300"/>
              <w:jc w:val="left"/>
            </w:pPr>
            <w:r>
              <w:rPr>
                <w:rFonts w:ascii="Lato" w:cs="Lato" w:eastAsia="Lato" w:hAnsi="Lato"/>
                <w:b/>
                <w:bCs/>
                <w:color w:val="1A1A1A"/>
                <w:sz w:val="22"/>
                <w:szCs w:val="22"/>
              </w:rPr>
              <w:t xml:space="preserve">Naples Pool Pros, Inc.</w:t>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1A1A1A"/>
                <w:sz w:val="18"/>
                <w:szCs w:val="18"/>
              </w:rPr>
              <w:t xml:space="preserve">Title: President / Qualifying Agent</w:t>
            </w:r>
          </w:p>
          <w:p>
            <w:pPr>
              <w:spacing w:after="0" w:before="0" w:line="300"/>
              <w:jc w:val="left"/>
            </w:pPr>
            <w:r>
              <w:rPr>
                <w:rFonts w:ascii="Lato" w:cs="Lato" w:eastAsia="Lato" w:hAnsi="Lato"/>
                <w:color w:val="5C5C5C"/>
                <w:sz w:val="18"/>
                <w:szCs w:val="18"/>
              </w:rPr>
              <w:t xml:space="preserve">Date: ____________________________________</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Exhibits</w:t>
      </w:r>
    </w:p>
    <w:p>
      <w:pPr>
        <w:pStyle w:val="ListParagraph"/>
        <w:numPr>
          <w:ilvl w:val="0"/>
          <w:numId w:val="15"/>
        </w:numPr>
        <w:spacing w:after="60" w:before="40" w:line="290"/>
      </w:pPr>
      <w:r>
        <w:rPr>
          <w:rFonts w:ascii="Lato" w:cs="Lato" w:eastAsia="Lato" w:hAnsi="Lato"/>
          <w:color w:val="1A1A1A"/>
          <w:sz w:val="22"/>
          <w:szCs w:val="22"/>
        </w:rPr>
        <w:t xml:space="preserve">Exhibit A — Statement of Work (Section 3 of RFP # 2026-08-POOL)</w:t>
      </w:r>
    </w:p>
    <w:p>
      <w:pPr>
        <w:pStyle w:val="ListParagraph"/>
        <w:numPr>
          <w:ilvl w:val="0"/>
          <w:numId w:val="15"/>
        </w:numPr>
        <w:spacing w:after="60" w:before="40" w:line="290"/>
      </w:pPr>
      <w:r>
        <w:rPr>
          <w:rFonts w:ascii="Lato" w:cs="Lato" w:eastAsia="Lato" w:hAnsi="Lato"/>
          <w:color w:val="1A1A1A"/>
          <w:sz w:val="22"/>
          <w:szCs w:val="22"/>
        </w:rPr>
        <w:t xml:space="preserve">Exhibit B — Vendor’s Bid Sheet dated September 30, 2026</w:t>
      </w:r>
    </w:p>
    <w:p>
      <w:pPr>
        <w:pStyle w:val="ListParagraph"/>
        <w:numPr>
          <w:ilvl w:val="0"/>
          <w:numId w:val="15"/>
        </w:numPr>
        <w:spacing w:after="60" w:before="40" w:line="290"/>
      </w:pPr>
      <w:r>
        <w:rPr>
          <w:rFonts w:ascii="Lato" w:cs="Lato" w:eastAsia="Lato" w:hAnsi="Lato"/>
          <w:color w:val="1A1A1A"/>
          <w:sz w:val="22"/>
          <w:szCs w:val="22"/>
        </w:rPr>
        <w:t xml:space="preserve">Exhibit C — Vendor’s Bid Authorization &amp; Affidavit dated September 30, 2026</w:t>
      </w:r>
    </w:p>
    <w:p>
      <w:pPr>
        <w:pStyle w:val="ListParagraph"/>
        <w:numPr>
          <w:ilvl w:val="0"/>
          <w:numId w:val="15"/>
        </w:numPr>
        <w:spacing w:after="60" w:before="40" w:line="290"/>
      </w:pPr>
      <w:r>
        <w:rPr>
          <w:rFonts w:ascii="Lato" w:cs="Lato" w:eastAsia="Lato" w:hAnsi="Lato"/>
          <w:color w:val="1A1A1A"/>
          <w:sz w:val="22"/>
          <w:szCs w:val="22"/>
        </w:rPr>
        <w:t xml:space="preserve">Exhibit D — Vendor’s Certificate of Insurance dated December 15, 2026</w:t>
      </w:r>
    </w:p>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Vendor Services Agreement  •  Pool &amp; Spa  •  Florida</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VSA — Pool &amp; Spa (FL)</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5"/>
    <w:lvlOverride w:ilvl="0">
      <w:startOverride w:val="1"/>
    </w:lvlOverride>
  </w:num>
  <w:num w:numId="3">
    <w:abstractNumId w:val="6"/>
    <w:lvlOverride w:ilvl="0">
      <w:startOverride w:val="1"/>
    </w:lvlOverride>
  </w:num>
  <w:num w:numId="4">
    <w:abstractNumId w:val="7"/>
    <w:lvlOverride w:ilvl="0">
      <w:startOverride w:val="1"/>
    </w:lvlOverride>
  </w:num>
  <w:num w:numId="5">
    <w:abstractNumId w:val="8"/>
    <w:lvlOverride w:ilvl="0">
      <w:startOverride w:val="1"/>
    </w:lvlOverride>
  </w:num>
  <w:num w:numId="6">
    <w:abstractNumId w:val="9"/>
    <w:lvlOverride w:ilvl="0">
      <w:startOverride w:val="1"/>
    </w:lvlOverride>
  </w:num>
  <w:num w:numId="7">
    <w:abstractNumId w:val="10"/>
    <w:lvlOverride w:ilvl="0">
      <w:startOverride w:val="1"/>
    </w:lvlOverride>
  </w:num>
  <w:num w:numId="8">
    <w:abstractNumId w:val="11"/>
    <w:lvlOverride w:ilvl="0">
      <w:startOverride w:val="1"/>
    </w:lvlOverride>
  </w:num>
  <w:num w:numId="9">
    <w:abstractNumId w:val="12"/>
    <w:lvlOverride w:ilvl="0">
      <w:startOverride w:val="1"/>
    </w:lvlOverride>
  </w:num>
  <w:num w:numId="10">
    <w:abstractNumId w:val="13"/>
    <w:lvlOverride w:ilvl="0">
      <w:startOverride w:val="1"/>
    </w:lvlOverride>
  </w:num>
  <w:num w:numId="11">
    <w:abstractNumId w:val="14"/>
    <w:lvlOverride w:ilvl="0">
      <w:startOverride w:val="1"/>
    </w:lvlOverride>
  </w:num>
  <w:num w:numId="12">
    <w:abstractNumId w:val="15"/>
    <w:lvlOverride w:ilvl="0">
      <w:startOverride w:val="1"/>
    </w:lvlOverride>
  </w:num>
  <w:num w:numId="13">
    <w:abstractNumId w:val="16"/>
    <w:lvlOverride w:ilvl="0">
      <w:startOverride w:val="1"/>
    </w:lvlOverride>
  </w:num>
  <w:num w:numId="14">
    <w:abstractNumId w:val="17"/>
    <w:lvlOverride w:ilvl="0">
      <w:startOverride w:val="1"/>
    </w:lvlOverride>
  </w:num>
  <w:num w:numId="15">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Vendor Services Agreement — Pool &amp; Spa (Florida)</dc:title>
  <dc:creator>Common Interest Community Standards Council (CIC-SC)</dc:creator>
  <dc:description>CIC-SC standalone draft (illustrative).</dc:description>
  <cp:lastModifiedBy>Un-named</cp:lastModifiedBy>
  <cp:revision>1</cp:revision>
  <dcterms:created xsi:type="dcterms:W3CDTF">2026-05-10T21:52:28.200Z</dcterms:created>
  <dcterms:modified xsi:type="dcterms:W3CDTF">2026-05-10T21:52:28.200Z</dcterms:modified>
</cp:coreProperties>
</file>

<file path=docProps/custom.xml><?xml version="1.0" encoding="utf-8"?>
<Properties xmlns="http://schemas.openxmlformats.org/officeDocument/2006/custom-properties" xmlns:vt="http://schemas.openxmlformats.org/officeDocument/2006/docPropsVTypes"/>
</file>