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Vendor Services Agreement  /  Standalone Draft / Landscape Sample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Vendor Services</w:t>
      </w:r>
    </w:p>
    <w:p>
      <w:pPr>
        <w:spacing w:after="240" w:before="0"/>
        <w:jc w:val="left"/>
      </w:pPr>
      <w:r>
        <w:rPr>
          <w:rFonts w:ascii="Garamond" w:cs="Garamond" w:eastAsia="Garamond" w:hAnsi="Garamond"/>
          <w:i/>
          <w:iCs/>
          <w:color w:val="173F35"/>
          <w:sz w:val="60"/>
          <w:szCs w:val="60"/>
        </w:rPr>
        <w:t xml:space="preserve">Agreement</w:t>
      </w:r>
    </w:p>
    <w:p>
      <w:pPr>
        <w:spacing w:after="1200" w:before="80"/>
        <w:jc w:val="left"/>
      </w:pPr>
      <w:r>
        <w:rPr>
          <w:rFonts w:ascii="Lato" w:cs="Lato" w:eastAsia="Lato" w:hAnsi="Lato"/>
          <w:color w:val="1A1A1A"/>
          <w:sz w:val="24"/>
          <w:szCs w:val="24"/>
        </w:rPr>
        <w:t xml:space="preserve">Sample executed agreement between Cypress Ridge Community Association and Cypress Turf &amp; Co., LLC for landscape and grounds maintenance services. Awarded under RFP # 2026-08-LANDSCAPE; pairs with the prior sample RFP and Comparative Evaluation.</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Texas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Vendor Services Agreement (Tier 1/2) Template  •  Sample RFP — Landscape (TX)  •  Sample Evaluation — Landscape (TX)</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POPULATED EXAMPLE</w:t>
            </w:r>
          </w:p>
          <w:p>
            <w:pPr>
              <w:spacing w:after="0" w:before="0" w:line="300"/>
              <w:jc w:val="left"/>
            </w:pPr>
            <w:r>
              <w:rPr>
                <w:rFonts w:ascii="Lato" w:cs="Lato" w:eastAsia="Lato" w:hAnsi="Lato"/>
                <w:color w:val="1A1A1A"/>
                <w:sz w:val="22"/>
                <w:szCs w:val="22"/>
              </w:rPr>
              <w:t xml:space="preserve">The names, dates, dollar values, and acreage are illustrative. Replace with your association’s information before execution. The structure, clause numbering, indemnity, insurance, lien-waiver, and governing-law clauses reflect CIC-SC best practice for a 12-month landscape contract in Texas.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END-TO-END RECORD</w:t>
            </w:r>
          </w:p>
          <w:p>
            <w:pPr>
              <w:spacing w:after="0" w:before="0" w:line="300"/>
              <w:jc w:val="left"/>
            </w:pPr>
            <w:r>
              <w:rPr>
                <w:rFonts w:ascii="Lato" w:cs="Lato" w:eastAsia="Lato" w:hAnsi="Lato"/>
                <w:color w:val="1A1A1A"/>
                <w:sz w:val="22"/>
                <w:szCs w:val="22"/>
              </w:rPr>
              <w:t xml:space="preserve">This agreement closes a complete CIC-SC vendor management record for Cypress Ridge Community Association: RFP # 2026-08-LANDSCAPE → bids evaluated → award recommendation memo → contract executed. The full record is in the Association’s permanent files.</w:t>
            </w:r>
          </w:p>
        </w:tc>
      </w:tr>
    </w:tbl>
    <w:p>
      <w:r>
        <w:br w:type="page"/>
      </w:r>
    </w:p>
    <w:p>
      <w:pPr>
        <w:spacing w:after="60" w:before="0"/>
      </w:pPr>
      <w:r>
        <w:rPr>
          <w:rFonts w:ascii="Lato" w:cs="Lato" w:eastAsia="Lato" w:hAnsi="Lato"/>
          <w:b/>
          <w:bCs/>
          <w:color w:val="C9A24A"/>
          <w:spacing w:val="100"/>
          <w:sz w:val="16"/>
          <w:szCs w:val="16"/>
        </w:rPr>
        <w:t xml:space="preserve">COVER SHEET</w:t>
      </w:r>
    </w:p>
    <w:p>
      <w:pPr>
        <w:pStyle w:val="Heading1"/>
        <w:spacing w:after="160" w:before="280"/>
      </w:pPr>
      <w:r>
        <w:rPr>
          <w:rFonts w:ascii="Garamond" w:cs="Garamond" w:eastAsia="Garamond" w:hAnsi="Garamond"/>
          <w:b/>
          <w:bCs/>
          <w:color w:val="173F35"/>
          <w:sz w:val="40"/>
          <w:szCs w:val="40"/>
        </w:rPr>
        <w:t xml:space="preserve">Vendor Services Agreement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Vendor Services Agreement (the “</w:t>
      </w:r>
      <w:r>
        <w:rPr>
          <w:rFonts w:ascii="Lato" w:cs="Lato" w:eastAsia="Lato" w:hAnsi="Lato"/>
          <w:b/>
          <w:bCs/>
          <w:color w:val="1A1A1A"/>
          <w:sz w:val="22"/>
          <w:szCs w:val="22"/>
        </w:rPr>
        <w:t xml:space="preserve">Agreement</w:t>
      </w:r>
      <w:r>
        <w:rPr>
          <w:rFonts w:ascii="Lato" w:cs="Lato" w:eastAsia="Lato" w:hAnsi="Lato"/>
          <w:color w:val="1A1A1A"/>
          <w:sz w:val="22"/>
          <w:szCs w:val="22"/>
        </w:rPr>
        <w:t xml:space="preserve">”) is entered into as of </w:t>
      </w:r>
      <w:r>
        <w:rPr>
          <w:rFonts w:ascii="Lato" w:cs="Lato" w:eastAsia="Lato" w:hAnsi="Lato"/>
          <w:b/>
          <w:bCs/>
          <w:color w:val="173F35"/>
          <w:sz w:val="22"/>
          <w:szCs w:val="22"/>
        </w:rPr>
        <w:t xml:space="preserve">January 1, 2027</w:t>
      </w:r>
      <w:r>
        <w:rPr>
          <w:rFonts w:ascii="Lato" w:cs="Lato" w:eastAsia="Lato" w:hAnsi="Lato"/>
          <w:color w:val="1A1A1A"/>
          <w:sz w:val="22"/>
          <w:szCs w:val="22"/>
        </w:rPr>
        <w:t xml:space="preserve"> (the “</w:t>
      </w:r>
      <w:r>
        <w:rPr>
          <w:rFonts w:ascii="Lato" w:cs="Lato" w:eastAsia="Lato" w:hAnsi="Lato"/>
          <w:b/>
          <w:bCs/>
          <w:color w:val="1A1A1A"/>
          <w:sz w:val="22"/>
          <w:szCs w:val="22"/>
        </w:rPr>
        <w:t xml:space="preserve">Effective Date</w:t>
      </w:r>
      <w:r>
        <w:rPr>
          <w:rFonts w:ascii="Lato" w:cs="Lato" w:eastAsia="Lato" w:hAnsi="Lato"/>
          <w:color w:val="1A1A1A"/>
          <w:sz w:val="22"/>
          <w:szCs w:val="22"/>
        </w:rPr>
        <w:t xml:space="preserve">”) by and between:</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Cypress Ridge Community Association, a Texas non-profit corporation, with offices at 27500 Cypress Ridge Parkway, Cypress, Texas 77433  (“Association”)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VENDOR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Cypress Turf &amp; Co., LLC, a Texas limited liability company, with offices at 14210 Crescent Bend Drive, Suite 110, Cypress, Texas 77429  (“Vendor”)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2026-08-LANDSCAPE  •  awarded by Board resolution dated October 23,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Landscape &amp; Grounds Maintenance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12 months, beginning January 1, 2027, ending December 31, 2027, with two (2) one-year renewal options at Association’s sole discretion</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Recitals</w:t>
      </w:r>
    </w:p>
    <w:p>
      <w:pPr>
        <w:spacing w:after="12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Association issued Request for Proposal # 2026-08-LANDSCAPE (the “RFP”) for landscape and grounds maintenance services;</w:t>
      </w:r>
    </w:p>
    <w:p>
      <w:pPr>
        <w:spacing w:after="12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Vendor submitted a proposal dated September 28, 2026 (the “Vendor’s Proposal”), and the Association’s Board of Directors awarded the contract to Vendor by recorded vote at a properly noticed open meeting on October 23, 2026, finding Vendor to be the lowest-priced, technically acceptable bidder;</w:t>
      </w:r>
    </w:p>
    <w:p>
      <w:pPr>
        <w:spacing w:after="16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Parties wish to memorialize the terms of Vendor’s engagement consistent with the RFP, Vendor’s Proposal, and the Board’s award;</w:t>
      </w:r>
    </w:p>
    <w:p>
      <w:pPr>
        <w:spacing w:after="120" w:before="0" w:line="320"/>
        <w:jc w:val="left"/>
      </w:pPr>
      <w:r>
        <w:rPr>
          <w:rFonts w:ascii="Lato" w:cs="Lato" w:eastAsia="Lato" w:hAnsi="Lato"/>
          <w:b/>
          <w:bCs/>
          <w:color w:val="173F35"/>
          <w:sz w:val="22"/>
          <w:szCs w:val="22"/>
        </w:rPr>
        <w:t xml:space="preserve">NOW, THEREFORE, </w:t>
      </w:r>
      <w:r>
        <w:rPr>
          <w:rFonts w:ascii="Lato" w:cs="Lato" w:eastAsia="Lato" w:hAnsi="Lato"/>
          <w:color w:val="1A1A1A"/>
          <w:sz w:val="22"/>
          <w:szCs w:val="22"/>
        </w:rPr>
        <w:t xml:space="preserve">in consideration of the mutual promises set forth below, the sufficiency of which is acknowledged, the Parties agree as follows:</w:t>
      </w:r>
    </w:p>
    <w:p>
      <w:r>
        <w:br w:type="page"/>
      </w:r>
    </w:p>
    <w:p>
      <w:pPr>
        <w:spacing w:after="0" w:before="280"/>
      </w:pPr>
      <w:r>
        <w:rPr>
          <w:rFonts w:ascii="Lato" w:cs="Lato" w:eastAsia="Lato" w:hAnsi="Lato"/>
          <w:b/>
          <w:bCs/>
          <w:color w:val="C9A24A"/>
          <w:spacing w:val="120"/>
          <w:sz w:val="16"/>
          <w:szCs w:val="16"/>
        </w:rPr>
        <w:t xml:space="preserve">ARTICLE 1</w:t>
      </w:r>
    </w:p>
    <w:p>
      <w:pPr>
        <w:spacing w:after="60" w:before="0"/>
      </w:pPr>
      <w:r>
        <w:rPr>
          <w:rFonts w:ascii="Garamond" w:cs="Garamond" w:eastAsia="Garamond" w:hAnsi="Garamond"/>
          <w:b/>
          <w:bCs/>
          <w:color w:val="173F35"/>
          <w:sz w:val="30"/>
          <w:szCs w:val="30"/>
        </w:rPr>
        <w:t xml:space="preserve">Definitions</w:t>
      </w:r>
    </w:p>
    <w:p>
      <w:pPr>
        <w:pBdr>
          <w:bottom w:val="single" w:color="C9A24A" w:sz="6" w:space="1"/>
        </w:pBdr>
        <w:spacing w:after="120" w:before="80"/>
      </w:pPr>
      <w:r>
        <w:t xml:space="preserve"/>
      </w:r>
    </w:p>
    <w:p>
      <w:pPr>
        <w:pStyle w:val="ListParagraph"/>
        <w:numPr>
          <w:ilvl w:val="0"/>
          <w:numId w:val="2"/>
        </w:numPr>
        <w:spacing w:after="100" w:before="60" w:line="300"/>
      </w:pPr>
      <w:r>
        <w:rPr>
          <w:rFonts w:ascii="Lato" w:cs="Lato" w:eastAsia="Lato" w:hAnsi="Lato"/>
          <w:color w:val="1A1A1A"/>
          <w:sz w:val="22"/>
          <w:szCs w:val="22"/>
        </w:rPr>
        <w:t xml:space="preserve">“RFP” means Request for Proposal # 2026-08-LANDSCAPE, including all attachments, addenda, and the questions-and-answers issued during the solicitation period.</w:t>
      </w:r>
    </w:p>
    <w:p>
      <w:pPr>
        <w:pStyle w:val="ListParagraph"/>
        <w:numPr>
          <w:ilvl w:val="0"/>
          <w:numId w:val="2"/>
        </w:numPr>
        <w:spacing w:after="100" w:before="60" w:line="300"/>
      </w:pPr>
      <w:r>
        <w:rPr>
          <w:rFonts w:ascii="Lato" w:cs="Lato" w:eastAsia="Lato" w:hAnsi="Lato"/>
          <w:color w:val="1A1A1A"/>
          <w:sz w:val="22"/>
          <w:szCs w:val="22"/>
        </w:rPr>
        <w:t xml:space="preserve">“Statement of Work” or “SOW” means Section 3 of the RFP, as further described in Exhibit A.</w:t>
      </w:r>
    </w:p>
    <w:p>
      <w:pPr>
        <w:pStyle w:val="ListParagraph"/>
        <w:numPr>
          <w:ilvl w:val="0"/>
          <w:numId w:val="2"/>
        </w:numPr>
        <w:spacing w:after="100" w:before="60" w:line="300"/>
      </w:pPr>
      <w:r>
        <w:rPr>
          <w:rFonts w:ascii="Lato" w:cs="Lato" w:eastAsia="Lato" w:hAnsi="Lato"/>
          <w:color w:val="1A1A1A"/>
          <w:sz w:val="22"/>
          <w:szCs w:val="22"/>
        </w:rPr>
        <w:t xml:space="preserve">“Vendor’s Proposal” means the proposal submitted by Vendor in response to the RFP and dated September 28, 2026, including the Bid Sheet attached as Exhibit B and the Bid Authorization &amp; Affidavit attached as Exhibit C.</w:t>
      </w:r>
    </w:p>
    <w:p>
      <w:pPr>
        <w:pStyle w:val="ListParagraph"/>
        <w:numPr>
          <w:ilvl w:val="0"/>
          <w:numId w:val="2"/>
        </w:numPr>
        <w:spacing w:after="100" w:before="60" w:line="300"/>
      </w:pPr>
      <w:r>
        <w:rPr>
          <w:rFonts w:ascii="Lato" w:cs="Lato" w:eastAsia="Lato" w:hAnsi="Lato"/>
          <w:color w:val="1A1A1A"/>
          <w:sz w:val="22"/>
          <w:szCs w:val="22"/>
        </w:rPr>
        <w:t xml:space="preserve">“Manager” means Diane Marquez, Community Manager, or her successor designated by the Board in writing.</w:t>
      </w:r>
    </w:p>
    <w:p>
      <w:pPr>
        <w:pStyle w:val="ListParagraph"/>
        <w:numPr>
          <w:ilvl w:val="0"/>
          <w:numId w:val="2"/>
        </w:numPr>
        <w:spacing w:after="100" w:before="60" w:line="300"/>
      </w:pPr>
      <w:r>
        <w:rPr>
          <w:rFonts w:ascii="Lato" w:cs="Lato" w:eastAsia="Lato" w:hAnsi="Lato"/>
          <w:color w:val="1A1A1A"/>
          <w:sz w:val="22"/>
          <w:szCs w:val="22"/>
        </w:rPr>
        <w:t xml:space="preserve">“Services” means the landscape and grounds maintenance services described in the Statement of Work.</w:t>
      </w:r>
    </w:p>
    <w:p>
      <w:pPr>
        <w:pStyle w:val="ListParagraph"/>
        <w:numPr>
          <w:ilvl w:val="0"/>
          <w:numId w:val="2"/>
        </w:numPr>
        <w:spacing w:after="100" w:before="60" w:line="300"/>
      </w:pPr>
      <w:r>
        <w:rPr>
          <w:rFonts w:ascii="Lato" w:cs="Lato" w:eastAsia="Lato" w:hAnsi="Lato"/>
          <w:color w:val="1A1A1A"/>
          <w:sz w:val="22"/>
          <w:szCs w:val="22"/>
        </w:rPr>
        <w:t xml:space="preserve">“Performance Period” means the period beginning January 1, 2027 and ending December 31, 2027, unless renewed or terminated as provided in this Agreement.</w:t>
      </w:r>
    </w:p>
    <w:p>
      <w:pPr>
        <w:pStyle w:val="ListParagraph"/>
        <w:numPr>
          <w:ilvl w:val="0"/>
          <w:numId w:val="2"/>
        </w:numPr>
        <w:spacing w:after="100" w:before="60" w:line="300"/>
      </w:pPr>
      <w:r>
        <w:rPr>
          <w:rFonts w:ascii="Lato" w:cs="Lato" w:eastAsia="Lato" w:hAnsi="Lato"/>
          <w:color w:val="1A1A1A"/>
          <w:sz w:val="22"/>
          <w:szCs w:val="22"/>
        </w:rPr>
        <w:t xml:space="preserve">“Governing Documents” means the Declaration, Bylaws, Articles of Incorporation, and Rules of the Association, as amended.</w:t>
      </w:r>
    </w:p>
    <w:p>
      <w:pPr>
        <w:spacing w:after="0" w:before="280"/>
      </w:pPr>
      <w:r>
        <w:rPr>
          <w:rFonts w:ascii="Lato" w:cs="Lato" w:eastAsia="Lato" w:hAnsi="Lato"/>
          <w:b/>
          <w:bCs/>
          <w:color w:val="C9A24A"/>
          <w:spacing w:val="120"/>
          <w:sz w:val="16"/>
          <w:szCs w:val="16"/>
        </w:rPr>
        <w:t xml:space="preserve">ARTICLE 2</w:t>
      </w:r>
    </w:p>
    <w:p>
      <w:pPr>
        <w:spacing w:after="60" w:before="0"/>
      </w:pPr>
      <w:r>
        <w:rPr>
          <w:rFonts w:ascii="Garamond" w:cs="Garamond" w:eastAsia="Garamond" w:hAnsi="Garamond"/>
          <w:b/>
          <w:bCs/>
          <w:color w:val="173F35"/>
          <w:sz w:val="30"/>
          <w:szCs w:val="30"/>
        </w:rPr>
        <w:t xml:space="preserve">Scope of Services</w:t>
      </w:r>
    </w:p>
    <w:p>
      <w:pPr>
        <w:pBdr>
          <w:bottom w:val="single" w:color="C9A24A" w:sz="6" w:space="1"/>
        </w:pBdr>
        <w:spacing w:after="120" w:before="80"/>
      </w:pPr>
      <w:r>
        <w:t xml:space="preserve"/>
      </w:r>
    </w:p>
    <w:p>
      <w:pPr>
        <w:pStyle w:val="ListParagraph"/>
        <w:numPr>
          <w:ilvl w:val="0"/>
          <w:numId w:val="3"/>
        </w:numPr>
        <w:spacing w:after="100" w:before="60" w:line="300"/>
      </w:pPr>
      <w:r>
        <w:rPr>
          <w:rFonts w:ascii="Lato" w:cs="Lato" w:eastAsia="Lato" w:hAnsi="Lato"/>
          <w:color w:val="1A1A1A"/>
          <w:sz w:val="22"/>
          <w:szCs w:val="22"/>
        </w:rPr>
        <w:t xml:space="preserve">Vendor shall furnish all labor, materials, supervision, and equipment necessary to perform the Services described in the Statement of Work in accordance with this Agreement and applicable law, including the recurring services in Section 3.2 of the RFP (mowing, edging, trimming; shrub and ornamental pruning; bed maintenance; turf fertilization; integrated pest management; irrigation walk-through; seasonal cleanups; mulch refresh; annual color rotations; litter pickup) at the frequencies stated.</w:t>
      </w:r>
    </w:p>
    <w:p>
      <w:pPr>
        <w:pStyle w:val="ListParagraph"/>
        <w:numPr>
          <w:ilvl w:val="0"/>
          <w:numId w:val="3"/>
        </w:numPr>
        <w:spacing w:after="100" w:before="60" w:line="300"/>
      </w:pPr>
      <w:r>
        <w:rPr>
          <w:rFonts w:ascii="Lato" w:cs="Lato" w:eastAsia="Lato" w:hAnsi="Lato"/>
          <w:color w:val="1A1A1A"/>
          <w:sz w:val="22"/>
          <w:szCs w:val="22"/>
        </w:rPr>
        <w:t xml:space="preserve">The Statement of Work is incorporated by reference. In the event of any direct conflict between the Statement of Work and this Agreement, this Agreement controls; in the event of any direct conflict between this Agreement and the Governing Documents or applicable law, the Governing Documents and applicable law control.</w:t>
      </w:r>
    </w:p>
    <w:p>
      <w:pPr>
        <w:pStyle w:val="ListParagraph"/>
        <w:numPr>
          <w:ilvl w:val="0"/>
          <w:numId w:val="3"/>
        </w:numPr>
        <w:spacing w:after="100" w:before="60" w:line="300"/>
      </w:pPr>
      <w:r>
        <w:rPr>
          <w:rFonts w:ascii="Lato" w:cs="Lato" w:eastAsia="Lato" w:hAnsi="Lato"/>
          <w:color w:val="1A1A1A"/>
          <w:sz w:val="22"/>
          <w:szCs w:val="22"/>
        </w:rPr>
        <w:t xml:space="preserve">Vendor warrants that the Services will be performed in a timely, workmanlike, and professional manner consistent with the quality standards stated in the Statement of Work, including: turf height maintained between 2.5 and 3.5 inches during the active growing season; no visible weeds, vines, or debris in beds at the end of any service day; bed mulch coverage at no less than 2 inches at any point in the contract year.</w:t>
      </w:r>
    </w:p>
    <w:p>
      <w:pPr>
        <w:pStyle w:val="ListParagraph"/>
        <w:numPr>
          <w:ilvl w:val="0"/>
          <w:numId w:val="3"/>
        </w:numPr>
        <w:spacing w:after="100" w:before="60" w:line="300"/>
      </w:pPr>
      <w:r>
        <w:rPr>
          <w:rFonts w:ascii="Lato" w:cs="Lato" w:eastAsia="Lato" w:hAnsi="Lato"/>
          <w:color w:val="1A1A1A"/>
          <w:sz w:val="22"/>
          <w:szCs w:val="22"/>
        </w:rPr>
        <w:t xml:space="preserve">Vendor shall complete each weekly visit during the period April through October, and each biweekly visit during the period November through March, between the hours of 7:00 a.m. and 5:00 p.m. local time, Monday through Friday, excluding federal and state holidays, except as the Manager may otherwise authorize in writing.</w:t>
      </w:r>
    </w:p>
    <w:p>
      <w:pPr>
        <w:pStyle w:val="ListParagraph"/>
        <w:numPr>
          <w:ilvl w:val="0"/>
          <w:numId w:val="3"/>
        </w:numPr>
        <w:spacing w:after="100" w:before="60" w:line="300"/>
      </w:pPr>
      <w:r>
        <w:rPr>
          <w:rFonts w:ascii="Lato" w:cs="Lato" w:eastAsia="Lato" w:hAnsi="Lato"/>
          <w:color w:val="1A1A1A"/>
          <w:sz w:val="22"/>
          <w:szCs w:val="22"/>
        </w:rPr>
        <w:t xml:space="preserve">Vendor shall not undertake work outside the Scope of Services on the request of any individual director, officer, committee member, owner, or resident. All requests for additional work shall be directed to the Manager and shall not be performed without a written work order approved in advance.</w:t>
      </w:r>
    </w:p>
    <w:p>
      <w:pPr>
        <w:spacing w:after="0" w:before="280"/>
      </w:pPr>
      <w:r>
        <w:rPr>
          <w:rFonts w:ascii="Lato" w:cs="Lato" w:eastAsia="Lato" w:hAnsi="Lato"/>
          <w:b/>
          <w:bCs/>
          <w:color w:val="C9A24A"/>
          <w:spacing w:val="120"/>
          <w:sz w:val="16"/>
          <w:szCs w:val="16"/>
        </w:rPr>
        <w:t xml:space="preserve">ARTICLE 3</w:t>
      </w:r>
    </w:p>
    <w:p>
      <w:pPr>
        <w:spacing w:after="60" w:before="0"/>
      </w:pPr>
      <w:r>
        <w:rPr>
          <w:rFonts w:ascii="Garamond" w:cs="Garamond" w:eastAsia="Garamond" w:hAnsi="Garamond"/>
          <w:b/>
          <w:bCs/>
          <w:color w:val="173F35"/>
          <w:sz w:val="30"/>
          <w:szCs w:val="30"/>
        </w:rPr>
        <w:t xml:space="preserve">Term and Renewal</w:t>
      </w:r>
    </w:p>
    <w:p>
      <w:pPr>
        <w:pBdr>
          <w:bottom w:val="single" w:color="C9A24A" w:sz="6" w:space="1"/>
        </w:pBdr>
        <w:spacing w:after="120" w:before="80"/>
      </w:pPr>
      <w:r>
        <w:t xml:space="preserve"/>
      </w:r>
    </w:p>
    <w:p>
      <w:pPr>
        <w:pStyle w:val="ListParagraph"/>
        <w:numPr>
          <w:ilvl w:val="0"/>
          <w:numId w:val="4"/>
        </w:numPr>
        <w:spacing w:after="100" w:before="60" w:line="300"/>
      </w:pPr>
      <w:r>
        <w:rPr>
          <w:rFonts w:ascii="Lato" w:cs="Lato" w:eastAsia="Lato" w:hAnsi="Lato"/>
          <w:color w:val="1A1A1A"/>
          <w:sz w:val="22"/>
          <w:szCs w:val="22"/>
        </w:rPr>
        <w:t xml:space="preserve">The Performance Period is twelve (12) months beginning January 1, 2027 and ending December 31, 2027.</w:t>
      </w:r>
    </w:p>
    <w:p>
      <w:pPr>
        <w:pStyle w:val="ListParagraph"/>
        <w:numPr>
          <w:ilvl w:val="0"/>
          <w:numId w:val="4"/>
        </w:numPr>
        <w:spacing w:after="100" w:before="60" w:line="300"/>
      </w:pPr>
      <w:r>
        <w:rPr>
          <w:rFonts w:ascii="Lato" w:cs="Lato" w:eastAsia="Lato" w:hAnsi="Lato"/>
          <w:color w:val="1A1A1A"/>
          <w:sz w:val="22"/>
          <w:szCs w:val="22"/>
        </w:rPr>
        <w:t xml:space="preserve">This Agreement shall renew for up to two (2) successive one-year terms at the Association’s sole discretion. The Association shall provide written notice of its election to renew not less than thirty (30) days before the end of the then-current term. Vendor shall not assume renewal.</w:t>
      </w:r>
    </w:p>
    <w:p>
      <w:pPr>
        <w:pStyle w:val="ListParagraph"/>
        <w:numPr>
          <w:ilvl w:val="0"/>
          <w:numId w:val="4"/>
        </w:numPr>
        <w:spacing w:after="100" w:before="60" w:line="300"/>
      </w:pPr>
      <w:r>
        <w:rPr>
          <w:rFonts w:ascii="Lato" w:cs="Lato" w:eastAsia="Lato" w:hAnsi="Lato"/>
          <w:color w:val="1A1A1A"/>
          <w:sz w:val="22"/>
          <w:szCs w:val="22"/>
        </w:rPr>
        <w:t xml:space="preserve">Pricing at each renewal shall be subject to the price review provisions in Article 4.</w:t>
      </w:r>
    </w:p>
    <w:p>
      <w:pPr>
        <w:spacing w:after="0" w:before="280"/>
      </w:pPr>
      <w:r>
        <w:rPr>
          <w:rFonts w:ascii="Lato" w:cs="Lato" w:eastAsia="Lato" w:hAnsi="Lato"/>
          <w:b/>
          <w:bCs/>
          <w:color w:val="C9A24A"/>
          <w:spacing w:val="120"/>
          <w:sz w:val="16"/>
          <w:szCs w:val="16"/>
        </w:rPr>
        <w:t xml:space="preserve">ARTICLE 4</w:t>
      </w:r>
    </w:p>
    <w:p>
      <w:pPr>
        <w:spacing w:after="60" w:before="0"/>
      </w:pPr>
      <w:r>
        <w:rPr>
          <w:rFonts w:ascii="Garamond" w:cs="Garamond" w:eastAsia="Garamond" w:hAnsi="Garamond"/>
          <w:b/>
          <w:bCs/>
          <w:color w:val="173F35"/>
          <w:sz w:val="30"/>
          <w:szCs w:val="30"/>
        </w:rPr>
        <w:t xml:space="preserve">Pricing and Payment</w:t>
      </w:r>
    </w:p>
    <w:p>
      <w:pPr>
        <w:pBdr>
          <w:bottom w:val="single" w:color="C9A24A" w:sz="6" w:space="1"/>
        </w:pBdr>
        <w:spacing w:after="120" w:before="80"/>
      </w:pPr>
      <w:r>
        <w:t xml:space="preserve"/>
      </w:r>
    </w:p>
    <w:p>
      <w:pPr>
        <w:pStyle w:val="ListParagraph"/>
        <w:numPr>
          <w:ilvl w:val="0"/>
          <w:numId w:val="5"/>
        </w:numPr>
        <w:spacing w:after="100" w:before="60" w:line="300"/>
      </w:pPr>
      <w:r>
        <w:rPr>
          <w:rFonts w:ascii="Lato" w:cs="Lato" w:eastAsia="Lato" w:hAnsi="Lato"/>
          <w:color w:val="1A1A1A"/>
          <w:sz w:val="22"/>
          <w:szCs w:val="22"/>
        </w:rPr>
        <w:t xml:space="preserve">Vendor shall be paid a monthly fixed-fee of $4,200.00 for the recurring Services described in Section 3.2 of the RFP. The first month’s fee is due January 5, 2027 and each month thereafter on the 5th day of the month.</w:t>
      </w:r>
    </w:p>
    <w:p>
      <w:pPr>
        <w:pStyle w:val="ListParagraph"/>
        <w:numPr>
          <w:ilvl w:val="0"/>
          <w:numId w:val="5"/>
        </w:numPr>
        <w:spacing w:after="100" w:before="60" w:line="300"/>
      </w:pPr>
      <w:r>
        <w:rPr>
          <w:rFonts w:ascii="Lato" w:cs="Lato" w:eastAsia="Lato" w:hAnsi="Lato"/>
          <w:color w:val="1A1A1A"/>
          <w:sz w:val="22"/>
          <w:szCs w:val="22"/>
        </w:rPr>
        <w:t xml:space="preserve">Annual escalation shall be three percent (3%) at each renewal anniversary, as stated in the Bid Sheet attached as Exhibit B.</w:t>
      </w:r>
    </w:p>
    <w:p>
      <w:pPr>
        <w:pStyle w:val="ListParagraph"/>
        <w:numPr>
          <w:ilvl w:val="0"/>
          <w:numId w:val="5"/>
        </w:numPr>
        <w:spacing w:after="100" w:before="60" w:line="300"/>
      </w:pPr>
      <w:r>
        <w:rPr>
          <w:rFonts w:ascii="Lato" w:cs="Lato" w:eastAsia="Lato" w:hAnsi="Lato"/>
          <w:color w:val="1A1A1A"/>
          <w:sz w:val="22"/>
          <w:szCs w:val="22"/>
        </w:rPr>
        <w:t xml:space="preserve">All amounts are inclusive of state and local sales tax.</w:t>
      </w:r>
    </w:p>
    <w:p>
      <w:pPr>
        <w:pStyle w:val="ListParagraph"/>
        <w:numPr>
          <w:ilvl w:val="0"/>
          <w:numId w:val="5"/>
        </w:numPr>
        <w:spacing w:after="100" w:before="60" w:line="300"/>
      </w:pPr>
      <w:r>
        <w:rPr>
          <w:rFonts w:ascii="Lato" w:cs="Lato" w:eastAsia="Lato" w:hAnsi="Lato"/>
          <w:color w:val="1A1A1A"/>
          <w:sz w:val="22"/>
          <w:szCs w:val="22"/>
        </w:rPr>
        <w:t xml:space="preserve">As-needed services shall be performed only upon a written work order approved in advance by the Manager. Labor shall be billed at $58.00 per man-hour for landscape labor and $72.00 per man-hour for irrigation labor; materials shall be billed at cost plus 12% markup; pricing as stated in the Bid Sheet.</w:t>
      </w:r>
    </w:p>
    <w:p>
      <w:pPr>
        <w:pStyle w:val="ListParagraph"/>
        <w:numPr>
          <w:ilvl w:val="0"/>
          <w:numId w:val="5"/>
        </w:numPr>
        <w:spacing w:after="100" w:before="60" w:line="300"/>
      </w:pPr>
      <w:r>
        <w:rPr>
          <w:rFonts w:ascii="Lato" w:cs="Lato" w:eastAsia="Lato" w:hAnsi="Lato"/>
          <w:color w:val="1A1A1A"/>
          <w:sz w:val="22"/>
          <w:szCs w:val="22"/>
        </w:rPr>
        <w:t xml:space="preserve">Vendor shall invoice the Association monthly on or before the 5th day of each month for Services performed in the prior month. The Association shall pay properly submitted invoices within thirty (30) days of receipt.</w:t>
      </w:r>
    </w:p>
    <w:p>
      <w:pPr>
        <w:pStyle w:val="ListParagraph"/>
        <w:numPr>
          <w:ilvl w:val="0"/>
          <w:numId w:val="5"/>
        </w:numPr>
        <w:spacing w:after="100" w:before="60" w:line="300"/>
      </w:pPr>
      <w:r>
        <w:rPr>
          <w:rFonts w:ascii="Lato" w:cs="Lato" w:eastAsia="Lato" w:hAnsi="Lato"/>
          <w:color w:val="1A1A1A"/>
          <w:sz w:val="22"/>
          <w:szCs w:val="22"/>
        </w:rPr>
        <w:t xml:space="preserve">The Association may withhold payment for any portion of an invoice in dispute, provided the Association notifies Vendor in writing of the dispute within fifteen (15) business days of invoice receipt. The Parties shall meet in good faith to resolve the dispute promptly.</w:t>
      </w:r>
    </w:p>
    <w:p>
      <w:pPr>
        <w:pStyle w:val="ListParagraph"/>
        <w:numPr>
          <w:ilvl w:val="0"/>
          <w:numId w:val="5"/>
        </w:numPr>
        <w:spacing w:after="100" w:before="60" w:line="300"/>
      </w:pPr>
      <w:r>
        <w:rPr>
          <w:rFonts w:ascii="Lato" w:cs="Lato" w:eastAsia="Lato" w:hAnsi="Lato"/>
          <w:color w:val="1A1A1A"/>
          <w:sz w:val="22"/>
          <w:szCs w:val="22"/>
        </w:rPr>
        <w:t xml:space="preserve">Vendor shall maintain accurate records of work performed, materials supplied, and as-needed services billed, and shall make those records available to the Association on reasonable request through the Performance Period and for one (1) year thereafter.</w:t>
      </w:r>
    </w:p>
    <w:p>
      <w:pPr>
        <w:spacing w:after="0" w:before="280"/>
      </w:pPr>
      <w:r>
        <w:rPr>
          <w:rFonts w:ascii="Lato" w:cs="Lato" w:eastAsia="Lato" w:hAnsi="Lato"/>
          <w:b/>
          <w:bCs/>
          <w:color w:val="C9A24A"/>
          <w:spacing w:val="120"/>
          <w:sz w:val="16"/>
          <w:szCs w:val="16"/>
        </w:rPr>
        <w:t xml:space="preserve">ARTICLE 5</w:t>
      </w:r>
    </w:p>
    <w:p>
      <w:pPr>
        <w:spacing w:after="60" w:before="0"/>
      </w:pPr>
      <w:r>
        <w:rPr>
          <w:rFonts w:ascii="Garamond" w:cs="Garamond" w:eastAsia="Garamond" w:hAnsi="Garamond"/>
          <w:b/>
          <w:bCs/>
          <w:color w:val="173F35"/>
          <w:sz w:val="30"/>
          <w:szCs w:val="30"/>
        </w:rPr>
        <w:t xml:space="preserve">Performance Standards and Reporting</w:t>
      </w:r>
    </w:p>
    <w:p>
      <w:pPr>
        <w:pBdr>
          <w:bottom w:val="single" w:color="C9A24A" w:sz="6" w:space="1"/>
        </w:pBdr>
        <w:spacing w:after="120" w:before="80"/>
      </w:pPr>
      <w:r>
        <w:t xml:space="preserve"/>
      </w:r>
    </w:p>
    <w:p>
      <w:pPr>
        <w:pStyle w:val="ListParagraph"/>
        <w:numPr>
          <w:ilvl w:val="0"/>
          <w:numId w:val="6"/>
        </w:numPr>
        <w:spacing w:after="100" w:before="60" w:line="300"/>
      </w:pPr>
      <w:r>
        <w:rPr>
          <w:rFonts w:ascii="Lato" w:cs="Lato" w:eastAsia="Lato" w:hAnsi="Lato"/>
          <w:color w:val="1A1A1A"/>
          <w:sz w:val="22"/>
          <w:szCs w:val="22"/>
        </w:rPr>
        <w:t xml:space="preserve">Vendor shall meet the quality standards stated in Section 3.4 of the Statement of Work and shall reasonably cooperate with the Manager’s monthly walk-through and the Board landscape liaison’s quarterly walk-through.</w:t>
      </w:r>
    </w:p>
    <w:p>
      <w:pPr>
        <w:pStyle w:val="ListParagraph"/>
        <w:numPr>
          <w:ilvl w:val="0"/>
          <w:numId w:val="6"/>
        </w:numPr>
        <w:spacing w:after="100" w:before="60" w:line="300"/>
      </w:pPr>
      <w:r>
        <w:rPr>
          <w:rFonts w:ascii="Lato" w:cs="Lato" w:eastAsia="Lato" w:hAnsi="Lato"/>
          <w:color w:val="1A1A1A"/>
          <w:sz w:val="22"/>
          <w:szCs w:val="22"/>
        </w:rPr>
        <w:t xml:space="preserve">Vendor shall provide a written monthly work report to the Manager within five (5) business days of month-end, including work performed, observations, photographs of any deficiencies, and recommendations.</w:t>
      </w:r>
    </w:p>
    <w:p>
      <w:pPr>
        <w:pStyle w:val="ListParagraph"/>
        <w:numPr>
          <w:ilvl w:val="0"/>
          <w:numId w:val="6"/>
        </w:numPr>
        <w:spacing w:after="100" w:before="60" w:line="300"/>
      </w:pPr>
      <w:r>
        <w:rPr>
          <w:rFonts w:ascii="Lato" w:cs="Lato" w:eastAsia="Lato" w:hAnsi="Lato"/>
          <w:color w:val="1A1A1A"/>
          <w:sz w:val="22"/>
          <w:szCs w:val="22"/>
        </w:rPr>
        <w:t xml:space="preserve">Vendor shall acknowledge in writing any service request submitted by the Manager within forty-eight (48) hours of receipt and shall provide a written response (including timing for any work) within five (5) business days.</w:t>
      </w:r>
    </w:p>
    <w:p>
      <w:pPr>
        <w:pStyle w:val="ListParagraph"/>
        <w:numPr>
          <w:ilvl w:val="0"/>
          <w:numId w:val="6"/>
        </w:numPr>
        <w:spacing w:after="100" w:before="60" w:line="300"/>
      </w:pPr>
      <w:r>
        <w:rPr>
          <w:rFonts w:ascii="Lato" w:cs="Lato" w:eastAsia="Lato" w:hAnsi="Lato"/>
          <w:color w:val="1A1A1A"/>
          <w:sz w:val="22"/>
          <w:szCs w:val="22"/>
        </w:rPr>
        <w:t xml:space="preserve">Persistent failure to meet the quality standards stated in the Statement of Work, after written notice and a reasonable opportunity to cure, shall constitute a material breach under Article 9.</w:t>
      </w:r>
    </w:p>
    <w:p>
      <w:pPr>
        <w:spacing w:after="0" w:before="280"/>
      </w:pPr>
      <w:r>
        <w:rPr>
          <w:rFonts w:ascii="Lato" w:cs="Lato" w:eastAsia="Lato" w:hAnsi="Lato"/>
          <w:b/>
          <w:bCs/>
          <w:color w:val="C9A24A"/>
          <w:spacing w:val="120"/>
          <w:sz w:val="16"/>
          <w:szCs w:val="16"/>
        </w:rPr>
        <w:t xml:space="preserve">ARTICLE 6</w:t>
      </w:r>
    </w:p>
    <w:p>
      <w:pPr>
        <w:spacing w:after="60" w:before="0"/>
      </w:pPr>
      <w:r>
        <w:rPr>
          <w:rFonts w:ascii="Garamond" w:cs="Garamond" w:eastAsia="Garamond" w:hAnsi="Garamond"/>
          <w:b/>
          <w:bCs/>
          <w:color w:val="173F35"/>
          <w:sz w:val="30"/>
          <w:szCs w:val="30"/>
        </w:rPr>
        <w:t xml:space="preserve">Personnel, Subcontractors, and Independent Contractor Status</w:t>
      </w:r>
    </w:p>
    <w:p>
      <w:pPr>
        <w:pBdr>
          <w:bottom w:val="single" w:color="C9A24A" w:sz="6" w:space="1"/>
        </w:pBdr>
        <w:spacing w:after="120" w:before="80"/>
      </w:pPr>
      <w:r>
        <w:t xml:space="preserve"/>
      </w:r>
    </w:p>
    <w:p>
      <w:pPr>
        <w:pStyle w:val="ListParagraph"/>
        <w:numPr>
          <w:ilvl w:val="0"/>
          <w:numId w:val="7"/>
        </w:numPr>
        <w:spacing w:after="100" w:before="60" w:line="300"/>
      </w:pPr>
      <w:r>
        <w:rPr>
          <w:rFonts w:ascii="Lato" w:cs="Lato" w:eastAsia="Lato" w:hAnsi="Lato"/>
          <w:color w:val="1A1A1A"/>
          <w:sz w:val="22"/>
          <w:szCs w:val="22"/>
        </w:rPr>
        <w:t xml:space="preserve">Vendor’s Account Manager dedicated to the Association is Michael Reyes, reachable at (713) 555-0145 / m.reyes@cypressturf.example.</w:t>
      </w:r>
    </w:p>
    <w:p>
      <w:pPr>
        <w:pStyle w:val="ListParagraph"/>
        <w:numPr>
          <w:ilvl w:val="0"/>
          <w:numId w:val="7"/>
        </w:numPr>
        <w:spacing w:after="100" w:before="60" w:line="300"/>
      </w:pPr>
      <w:r>
        <w:rPr>
          <w:rFonts w:ascii="Lato" w:cs="Lato" w:eastAsia="Lato" w:hAnsi="Lato"/>
          <w:color w:val="1A1A1A"/>
          <w:sz w:val="22"/>
          <w:szCs w:val="22"/>
        </w:rPr>
        <w:t xml:space="preserve">Vendor’s on-site Crew Foreman is Jorge Salas, reachable at (713) 555-0146 during service hours.</w:t>
      </w:r>
    </w:p>
    <w:p>
      <w:pPr>
        <w:pStyle w:val="ListParagraph"/>
        <w:numPr>
          <w:ilvl w:val="0"/>
          <w:numId w:val="7"/>
        </w:numPr>
        <w:spacing w:after="100" w:before="60" w:line="300"/>
      </w:pPr>
      <w:r>
        <w:rPr>
          <w:rFonts w:ascii="Lato" w:cs="Lato" w:eastAsia="Lato" w:hAnsi="Lato"/>
          <w:color w:val="1A1A1A"/>
          <w:sz w:val="22"/>
          <w:szCs w:val="22"/>
        </w:rPr>
        <w:t xml:space="preserve">Vendor is an independent contractor. Nothing in this Agreement creates an employer-employee, partnership, joint venture, or agency relationship between the Parties.</w:t>
      </w:r>
    </w:p>
    <w:p>
      <w:pPr>
        <w:pStyle w:val="ListParagraph"/>
        <w:numPr>
          <w:ilvl w:val="0"/>
          <w:numId w:val="7"/>
        </w:numPr>
        <w:spacing w:after="100" w:before="60" w:line="300"/>
      </w:pPr>
      <w:r>
        <w:rPr>
          <w:rFonts w:ascii="Lato" w:cs="Lato" w:eastAsia="Lato" w:hAnsi="Lato"/>
          <w:color w:val="1A1A1A"/>
          <w:sz w:val="22"/>
          <w:szCs w:val="22"/>
        </w:rPr>
        <w:t xml:space="preserve">Vendor is solely responsible for compliance with all applicable wage, hour, tax, workers’ compensation, immigration, and employment laws with respect to Vendor’s personnel.</w:t>
      </w:r>
    </w:p>
    <w:p>
      <w:pPr>
        <w:pStyle w:val="ListParagraph"/>
        <w:numPr>
          <w:ilvl w:val="0"/>
          <w:numId w:val="7"/>
        </w:numPr>
        <w:spacing w:after="100" w:before="60" w:line="300"/>
      </w:pPr>
      <w:r>
        <w:rPr>
          <w:rFonts w:ascii="Lato" w:cs="Lato" w:eastAsia="Lato" w:hAnsi="Lato"/>
          <w:color w:val="1A1A1A"/>
          <w:sz w:val="22"/>
          <w:szCs w:val="22"/>
        </w:rPr>
        <w:t xml:space="preserve">Vendor shall not subcontract any portion of the Services without the Manager’s prior written consent. Any approved subcontractor shall be bound by terms no less protective of the Association than this Agreement.</w:t>
      </w:r>
    </w:p>
    <w:p>
      <w:pPr>
        <w:pStyle w:val="ListParagraph"/>
        <w:numPr>
          <w:ilvl w:val="0"/>
          <w:numId w:val="7"/>
        </w:numPr>
        <w:spacing w:after="100" w:before="60" w:line="300"/>
      </w:pPr>
      <w:r>
        <w:rPr>
          <w:rFonts w:ascii="Lato" w:cs="Lato" w:eastAsia="Lato" w:hAnsi="Lato"/>
          <w:color w:val="1A1A1A"/>
          <w:sz w:val="22"/>
          <w:szCs w:val="22"/>
        </w:rPr>
        <w:t xml:space="preserve">Neither Party shall solicit for employment any person then employed by the other Party during the Performance Period and for twelve (12) months thereafter, without the other Party’s prior written consent.</w:t>
      </w:r>
    </w:p>
    <w:p>
      <w:pPr>
        <w:spacing w:after="0" w:before="280"/>
      </w:pPr>
      <w:r>
        <w:rPr>
          <w:rFonts w:ascii="Lato" w:cs="Lato" w:eastAsia="Lato" w:hAnsi="Lato"/>
          <w:b/>
          <w:bCs/>
          <w:color w:val="C9A24A"/>
          <w:spacing w:val="120"/>
          <w:sz w:val="16"/>
          <w:szCs w:val="16"/>
        </w:rPr>
        <w:t xml:space="preserve">ARTICLE 7</w:t>
      </w:r>
    </w:p>
    <w:p>
      <w:pPr>
        <w:spacing w:after="60" w:before="0"/>
      </w:pPr>
      <w:r>
        <w:rPr>
          <w:rFonts w:ascii="Garamond" w:cs="Garamond" w:eastAsia="Garamond" w:hAnsi="Garamond"/>
          <w:b/>
          <w:bCs/>
          <w:color w:val="173F35"/>
          <w:sz w:val="30"/>
          <w:szCs w:val="30"/>
        </w:rPr>
        <w:t xml:space="preserve">Insurance</w:t>
      </w:r>
    </w:p>
    <w:p>
      <w:pPr>
        <w:pBdr>
          <w:bottom w:val="single" w:color="C9A24A" w:sz="6" w:space="1"/>
        </w:pBdr>
        <w:spacing w:after="120" w:before="80"/>
      </w:pPr>
      <w:r>
        <w:t xml:space="preserve"/>
      </w:r>
    </w:p>
    <w:p>
      <w:pPr>
        <w:pStyle w:val="ListParagraph"/>
        <w:numPr>
          <w:ilvl w:val="0"/>
          <w:numId w:val="8"/>
        </w:numPr>
        <w:spacing w:after="100" w:before="60" w:line="300"/>
      </w:pPr>
      <w:r>
        <w:rPr>
          <w:rFonts w:ascii="Lato" w:cs="Lato" w:eastAsia="Lato" w:hAnsi="Lato"/>
          <w:color w:val="1A1A1A"/>
          <w:sz w:val="22"/>
          <w:szCs w:val="22"/>
        </w:rPr>
        <w:t xml:space="preserve">Vendor shall maintain, at its sole expense, throughout the Performance Period: Commercial General Liability of not less than $1,000,000 per occurrence and $2,000,000 aggregate; Commercial Auto Liability of not less than $1,000,000 combined single limit; Workers’ Compensation at the Texas statutory limit and Employer’s Liability of not less than $1,000,000 per accident/disease/disease policy limit; Pesticide / Pollution Liability of not less than $1,000,000 per occurrence; and Umbrella / Excess Liability of not less than $2,000,000 over the underlying coverages.</w:t>
      </w:r>
    </w:p>
    <w:p>
      <w:pPr>
        <w:pStyle w:val="ListParagraph"/>
        <w:numPr>
          <w:ilvl w:val="0"/>
          <w:numId w:val="8"/>
        </w:numPr>
        <w:spacing w:after="100" w:before="60" w:line="300"/>
      </w:pPr>
      <w:r>
        <w:rPr>
          <w:rFonts w:ascii="Lato" w:cs="Lato" w:eastAsia="Lato" w:hAnsi="Lato"/>
          <w:color w:val="1A1A1A"/>
          <w:sz w:val="22"/>
          <w:szCs w:val="22"/>
        </w:rPr>
        <w:t xml:space="preserve">Cypress Ridge Community Association and its Board, Manager, and Cypress Ridge Property Management LLC shall be named as additional insureds on the Commercial General Liability and Commercial Auto Liability policies on a primary, non-contributory basis.</w:t>
      </w:r>
    </w:p>
    <w:p>
      <w:pPr>
        <w:pStyle w:val="ListParagraph"/>
        <w:numPr>
          <w:ilvl w:val="0"/>
          <w:numId w:val="8"/>
        </w:numPr>
        <w:spacing w:after="100" w:before="60" w:line="300"/>
      </w:pPr>
      <w:r>
        <w:rPr>
          <w:rFonts w:ascii="Lato" w:cs="Lato" w:eastAsia="Lato" w:hAnsi="Lato"/>
          <w:color w:val="1A1A1A"/>
          <w:sz w:val="22"/>
          <w:szCs w:val="22"/>
        </w:rPr>
        <w:t xml:space="preserve">Vendor shall deliver Certificates of Insurance evidencing the required coverages, with additional-insured endorsements attached, before commencement of the Services and at each renewal of the underlying policy.</w:t>
      </w:r>
    </w:p>
    <w:p>
      <w:pPr>
        <w:pStyle w:val="ListParagraph"/>
        <w:numPr>
          <w:ilvl w:val="0"/>
          <w:numId w:val="8"/>
        </w:numPr>
        <w:spacing w:after="100" w:before="60" w:line="300"/>
      </w:pPr>
      <w:r>
        <w:rPr>
          <w:rFonts w:ascii="Lato" w:cs="Lato" w:eastAsia="Lato" w:hAnsi="Lato"/>
          <w:color w:val="1A1A1A"/>
          <w:sz w:val="22"/>
          <w:szCs w:val="22"/>
        </w:rPr>
        <w:t xml:space="preserve">Each policy shall provide thirty (30) days’ written notice to the Association in the event of cancellation or material change.</w:t>
      </w:r>
    </w:p>
    <w:p>
      <w:pPr>
        <w:pStyle w:val="ListParagraph"/>
        <w:numPr>
          <w:ilvl w:val="0"/>
          <w:numId w:val="8"/>
        </w:numPr>
        <w:spacing w:after="100" w:before="60" w:line="300"/>
      </w:pPr>
      <w:r>
        <w:rPr>
          <w:rFonts w:ascii="Lato" w:cs="Lato" w:eastAsia="Lato" w:hAnsi="Lato"/>
          <w:color w:val="1A1A1A"/>
          <w:sz w:val="22"/>
          <w:szCs w:val="22"/>
        </w:rPr>
        <w:t xml:space="preserve">Vendor’s insurance obligations are not limited by the indemnification obligations in Article 8.</w:t>
      </w:r>
    </w:p>
    <w:p>
      <w:pPr>
        <w:spacing w:after="0" w:before="280"/>
      </w:pPr>
      <w:r>
        <w:rPr>
          <w:rFonts w:ascii="Lato" w:cs="Lato" w:eastAsia="Lato" w:hAnsi="Lato"/>
          <w:b/>
          <w:bCs/>
          <w:color w:val="C9A24A"/>
          <w:spacing w:val="120"/>
          <w:sz w:val="16"/>
          <w:szCs w:val="16"/>
        </w:rPr>
        <w:t xml:space="preserve">ARTICLE 8</w:t>
      </w:r>
    </w:p>
    <w:p>
      <w:pPr>
        <w:spacing w:after="60" w:before="0"/>
      </w:pPr>
      <w:r>
        <w:rPr>
          <w:rFonts w:ascii="Garamond" w:cs="Garamond" w:eastAsia="Garamond" w:hAnsi="Garamond"/>
          <w:b/>
          <w:bCs/>
          <w:color w:val="173F35"/>
          <w:sz w:val="30"/>
          <w:szCs w:val="30"/>
        </w:rPr>
        <w:t xml:space="preserve">Indemnification</w:t>
      </w:r>
    </w:p>
    <w:p>
      <w:pPr>
        <w:pBdr>
          <w:bottom w:val="single" w:color="C9A24A" w:sz="6" w:space="1"/>
        </w:pBdr>
        <w:spacing w:after="120" w:before="80"/>
      </w:pPr>
      <w:r>
        <w:t xml:space="preserve"/>
      </w:r>
    </w:p>
    <w:p>
      <w:pPr>
        <w:pStyle w:val="ListParagraph"/>
        <w:numPr>
          <w:ilvl w:val="0"/>
          <w:numId w:val="9"/>
        </w:numPr>
        <w:spacing w:after="100" w:before="60" w:line="300"/>
      </w:pPr>
      <w:r>
        <w:rPr>
          <w:rFonts w:ascii="Lato" w:cs="Lato" w:eastAsia="Lato" w:hAnsi="Lato"/>
          <w:color w:val="1A1A1A"/>
          <w:sz w:val="22"/>
          <w:szCs w:val="22"/>
        </w:rPr>
        <w:t xml:space="preserve">To the fullest extent permitted by Texas law, Vendor shall defend, indemnify, and hold harmless the Association, its Board, Officers, Committee Members, Manager, Managing Agent, and their respective agents and employees (each an “Indemnified Party”) from and against any and all claims, demands, suits, judgments, losses, liabilities, damages, costs, and expenses (including reasonable attorneys’ fees) arising out of or resulting from: (a) Vendor’s performance or breach of this Agreement; (b) any negligent, reckless, or intentionally wrongful act or omission of Vendor or any of its officers, employees, agents, or subcontractors; (c) any property damage or bodily injury caused by Vendor or those for whom Vendor is responsible; or (d) any violation of applicable law by Vendor.</w:t>
      </w:r>
    </w:p>
    <w:p>
      <w:pPr>
        <w:pStyle w:val="ListParagraph"/>
        <w:numPr>
          <w:ilvl w:val="0"/>
          <w:numId w:val="9"/>
        </w:numPr>
        <w:spacing w:after="100" w:before="60" w:line="300"/>
      </w:pPr>
      <w:r>
        <w:rPr>
          <w:rFonts w:ascii="Lato" w:cs="Lato" w:eastAsia="Lato" w:hAnsi="Lato"/>
          <w:color w:val="1A1A1A"/>
          <w:sz w:val="22"/>
          <w:szCs w:val="22"/>
        </w:rPr>
        <w:t xml:space="preserve">Vendor’s indemnification obligations apply regardless of whether an Indemnified Party’s own negligence is alleged to have contributed to the claim, except to the extent caused by the sole negligence or willful misconduct of the Indemnified Party.</w:t>
      </w:r>
    </w:p>
    <w:p>
      <w:pPr>
        <w:pStyle w:val="ListParagraph"/>
        <w:numPr>
          <w:ilvl w:val="0"/>
          <w:numId w:val="9"/>
        </w:numPr>
        <w:spacing w:after="100" w:before="60" w:line="300"/>
      </w:pPr>
      <w:r>
        <w:rPr>
          <w:rFonts w:ascii="Lato" w:cs="Lato" w:eastAsia="Lato" w:hAnsi="Lato"/>
          <w:color w:val="1A1A1A"/>
          <w:sz w:val="22"/>
          <w:szCs w:val="22"/>
        </w:rPr>
        <w:t xml:space="preserve">An Indemnified Party shall provide prompt written notice of any claim subject to indemnification and reasonable cooperation in the defense.</w:t>
      </w:r>
    </w:p>
    <w:p>
      <w:pPr>
        <w:spacing w:after="0" w:before="280"/>
      </w:pPr>
      <w:r>
        <w:rPr>
          <w:rFonts w:ascii="Lato" w:cs="Lato" w:eastAsia="Lato" w:hAnsi="Lato"/>
          <w:b/>
          <w:bCs/>
          <w:color w:val="C9A24A"/>
          <w:spacing w:val="120"/>
          <w:sz w:val="16"/>
          <w:szCs w:val="16"/>
        </w:rPr>
        <w:t xml:space="preserve">ARTICLE 9</w:t>
      </w:r>
    </w:p>
    <w:p>
      <w:pPr>
        <w:spacing w:after="60" w:before="0"/>
      </w:pPr>
      <w:r>
        <w:rPr>
          <w:rFonts w:ascii="Garamond" w:cs="Garamond" w:eastAsia="Garamond" w:hAnsi="Garamond"/>
          <w:b/>
          <w:bCs/>
          <w:color w:val="173F35"/>
          <w:sz w:val="30"/>
          <w:szCs w:val="30"/>
        </w:rPr>
        <w:t xml:space="preserve">Default, Cure, and Termination</w:t>
      </w:r>
    </w:p>
    <w:p>
      <w:pPr>
        <w:pBdr>
          <w:bottom w:val="single" w:color="C9A24A" w:sz="6" w:space="1"/>
        </w:pBdr>
        <w:spacing w:after="120" w:before="80"/>
      </w:pPr>
      <w:r>
        <w:t xml:space="preserve"/>
      </w:r>
    </w:p>
    <w:p>
      <w:pPr>
        <w:pStyle w:val="ListParagraph"/>
        <w:numPr>
          <w:ilvl w:val="0"/>
          <w:numId w:val="10"/>
        </w:numPr>
        <w:spacing w:after="100" w:before="60" w:line="300"/>
      </w:pPr>
      <w:r>
        <w:rPr>
          <w:rFonts w:ascii="Lato" w:cs="Lato" w:eastAsia="Lato" w:hAnsi="Lato"/>
          <w:color w:val="1A1A1A"/>
          <w:sz w:val="22"/>
          <w:szCs w:val="22"/>
        </w:rPr>
        <w:t xml:space="preserve">“Material Breach” means: (a) failure to perform any material obligation under this Agreement, including failure to meet the quality standards in the Statement of Work; (b) failure to maintain the insurance coverages required by Article 7; (c) violation of applicable law in a manner that materially affects performance; (d) any assignment for the benefit of creditors or filing of bankruptcy by Vendor; or (e) any other event that the Parties expressly designate in writing as a Material Breach.</w:t>
      </w:r>
    </w:p>
    <w:p>
      <w:pPr>
        <w:pStyle w:val="ListParagraph"/>
        <w:numPr>
          <w:ilvl w:val="0"/>
          <w:numId w:val="10"/>
        </w:numPr>
        <w:spacing w:after="100" w:before="60" w:line="300"/>
      </w:pPr>
      <w:r>
        <w:rPr>
          <w:rFonts w:ascii="Lato" w:cs="Lato" w:eastAsia="Lato" w:hAnsi="Lato"/>
          <w:color w:val="1A1A1A"/>
          <w:sz w:val="22"/>
          <w:szCs w:val="22"/>
        </w:rPr>
        <w:t xml:space="preserve">Upon notice of a Material Breach, the breaching Party shall have ten (10) calendar days from receipt of written notice to cure.</w:t>
      </w:r>
    </w:p>
    <w:p>
      <w:pPr>
        <w:pStyle w:val="ListParagraph"/>
        <w:numPr>
          <w:ilvl w:val="0"/>
          <w:numId w:val="10"/>
        </w:numPr>
        <w:spacing w:after="100" w:before="60" w:line="300"/>
      </w:pPr>
      <w:r>
        <w:rPr>
          <w:rFonts w:ascii="Lato" w:cs="Lato" w:eastAsia="Lato" w:hAnsi="Lato"/>
          <w:color w:val="1A1A1A"/>
          <w:sz w:val="22"/>
          <w:szCs w:val="22"/>
        </w:rPr>
        <w:t xml:space="preserve">Termination for Cause. Either Party may terminate this Agreement immediately on written notice if the breaching Party fails to cure a Material Breach within the cure period.</w:t>
      </w:r>
    </w:p>
    <w:p>
      <w:pPr>
        <w:pStyle w:val="ListParagraph"/>
        <w:numPr>
          <w:ilvl w:val="0"/>
          <w:numId w:val="10"/>
        </w:numPr>
        <w:spacing w:after="100" w:before="60" w:line="300"/>
      </w:pPr>
      <w:r>
        <w:rPr>
          <w:rFonts w:ascii="Lato" w:cs="Lato" w:eastAsia="Lato" w:hAnsi="Lato"/>
          <w:color w:val="1A1A1A"/>
          <w:sz w:val="22"/>
          <w:szCs w:val="22"/>
        </w:rPr>
        <w:t xml:space="preserve">Termination for Convenience. The Association may terminate this Agreement at any time, with or without cause, on thirty (30) days’ written notice to Vendor, without penalty. Vendor may terminate this Agreement for convenience on sixty (60) days’ written notice to the Association.</w:t>
      </w:r>
    </w:p>
    <w:p>
      <w:pPr>
        <w:pStyle w:val="ListParagraph"/>
        <w:numPr>
          <w:ilvl w:val="0"/>
          <w:numId w:val="10"/>
        </w:numPr>
        <w:spacing w:after="100" w:before="60" w:line="300"/>
      </w:pPr>
      <w:r>
        <w:rPr>
          <w:rFonts w:ascii="Lato" w:cs="Lato" w:eastAsia="Lato" w:hAnsi="Lato"/>
          <w:color w:val="1A1A1A"/>
          <w:sz w:val="22"/>
          <w:szCs w:val="22"/>
        </w:rPr>
        <w:t xml:space="preserve">Effect of Termination. On termination, Vendor shall be paid the prorated portion of the monthly fee earned through the effective date of termination, plus the cost of any approved work order completed before that date. Vendor shall not be entitled to any other compensation.</w:t>
      </w:r>
    </w:p>
    <w:p>
      <w:pPr>
        <w:pStyle w:val="ListParagraph"/>
        <w:numPr>
          <w:ilvl w:val="0"/>
          <w:numId w:val="10"/>
        </w:numPr>
        <w:spacing w:after="100" w:before="60" w:line="300"/>
      </w:pPr>
      <w:r>
        <w:rPr>
          <w:rFonts w:ascii="Lato" w:cs="Lato" w:eastAsia="Lato" w:hAnsi="Lato"/>
          <w:color w:val="1A1A1A"/>
          <w:sz w:val="22"/>
          <w:szCs w:val="22"/>
        </w:rPr>
        <w:t xml:space="preserve">Survival. Articles 7 (Insurance), 8 (Indemnification), 10 (Confidentiality), 11 (Lien Waivers), 12 (Governing Law), and 13 (General Provisions) survive termination.</w:t>
      </w:r>
    </w:p>
    <w:p>
      <w:pPr>
        <w:spacing w:after="0" w:before="280"/>
      </w:pPr>
      <w:r>
        <w:rPr>
          <w:rFonts w:ascii="Lato" w:cs="Lato" w:eastAsia="Lato" w:hAnsi="Lato"/>
          <w:b/>
          <w:bCs/>
          <w:color w:val="C9A24A"/>
          <w:spacing w:val="120"/>
          <w:sz w:val="16"/>
          <w:szCs w:val="16"/>
        </w:rPr>
        <w:t xml:space="preserve">ARTICLE 10</w:t>
      </w:r>
    </w:p>
    <w:p>
      <w:pPr>
        <w:spacing w:after="60" w:before="0"/>
      </w:pPr>
      <w:r>
        <w:rPr>
          <w:rFonts w:ascii="Garamond" w:cs="Garamond" w:eastAsia="Garamond" w:hAnsi="Garamond"/>
          <w:b/>
          <w:bCs/>
          <w:color w:val="173F35"/>
          <w:sz w:val="30"/>
          <w:szCs w:val="30"/>
        </w:rPr>
        <w:t xml:space="preserve">Confidentiality and Conflicts of Interest</w:t>
      </w:r>
    </w:p>
    <w:p>
      <w:pPr>
        <w:pBdr>
          <w:bottom w:val="single" w:color="C9A24A" w:sz="6" w:space="1"/>
        </w:pBdr>
        <w:spacing w:after="120" w:before="80"/>
      </w:pPr>
      <w:r>
        <w:t xml:space="preserve"/>
      </w:r>
    </w:p>
    <w:p>
      <w:pPr>
        <w:pStyle w:val="ListParagraph"/>
        <w:numPr>
          <w:ilvl w:val="0"/>
          <w:numId w:val="11"/>
        </w:numPr>
        <w:spacing w:after="100" w:before="60" w:line="300"/>
      </w:pPr>
      <w:r>
        <w:rPr>
          <w:rFonts w:ascii="Lato" w:cs="Lato" w:eastAsia="Lato" w:hAnsi="Lato"/>
          <w:color w:val="1A1A1A"/>
          <w:sz w:val="22"/>
          <w:szCs w:val="22"/>
        </w:rPr>
        <w:t xml:space="preserve">Vendor shall safeguard non-public information about the Association, its members, residents, employees, and finances, and shall not disclose such information to any third party except as required by law or with the Association’s prior written consent.</w:t>
      </w:r>
    </w:p>
    <w:p>
      <w:pPr>
        <w:pStyle w:val="ListParagraph"/>
        <w:numPr>
          <w:ilvl w:val="0"/>
          <w:numId w:val="11"/>
        </w:numPr>
        <w:spacing w:after="100" w:before="60" w:line="300"/>
      </w:pPr>
      <w:r>
        <w:rPr>
          <w:rFonts w:ascii="Lato" w:cs="Lato" w:eastAsia="Lato" w:hAnsi="Lato"/>
          <w:color w:val="1A1A1A"/>
          <w:sz w:val="22"/>
          <w:szCs w:val="22"/>
        </w:rPr>
        <w:t xml:space="preserve">Vendor’s officers and key personnel shall comply with the Association’s Code of Ethics as it relates to vendor conduct, including limits on gifts and gratuities to Association directors, officers, committee members, and management.</w:t>
      </w:r>
    </w:p>
    <w:p>
      <w:pPr>
        <w:pStyle w:val="ListParagraph"/>
        <w:numPr>
          <w:ilvl w:val="0"/>
          <w:numId w:val="11"/>
        </w:numPr>
        <w:spacing w:after="100" w:before="60" w:line="300"/>
      </w:pPr>
      <w:r>
        <w:rPr>
          <w:rFonts w:ascii="Lato" w:cs="Lato" w:eastAsia="Lato" w:hAnsi="Lato"/>
          <w:color w:val="1A1A1A"/>
          <w:sz w:val="22"/>
          <w:szCs w:val="22"/>
        </w:rPr>
        <w:t xml:space="preserve">Vendor has confirmed, by execution of the Bid Authorization &amp; Affidavit (Exhibit C), that no Vendor owner, officer, employee, or relative within the third degree of consanguinity or affinity has a current or prior relationship with any current Director, Officer, Committee Member, or Manager of the Association. Vendor shall promptly disclose any conflict that arises during the Performance Period in writing to the Manager.</w:t>
      </w:r>
    </w:p>
    <w:p>
      <w:pPr>
        <w:spacing w:after="0" w:before="280"/>
      </w:pPr>
      <w:r>
        <w:rPr>
          <w:rFonts w:ascii="Lato" w:cs="Lato" w:eastAsia="Lato" w:hAnsi="Lato"/>
          <w:b/>
          <w:bCs/>
          <w:color w:val="C9A24A"/>
          <w:spacing w:val="120"/>
          <w:sz w:val="16"/>
          <w:szCs w:val="16"/>
        </w:rPr>
        <w:t xml:space="preserve">ARTICLE 11</w:t>
      </w:r>
    </w:p>
    <w:p>
      <w:pPr>
        <w:spacing w:after="60" w:before="0"/>
      </w:pPr>
      <w:r>
        <w:rPr>
          <w:rFonts w:ascii="Garamond" w:cs="Garamond" w:eastAsia="Garamond" w:hAnsi="Garamond"/>
          <w:b/>
          <w:bCs/>
          <w:color w:val="173F35"/>
          <w:sz w:val="30"/>
          <w:szCs w:val="30"/>
        </w:rPr>
        <w:t xml:space="preserve">Lien Waivers and Mechanic’s Lien Protection</w:t>
      </w:r>
    </w:p>
    <w:p>
      <w:pPr>
        <w:pBdr>
          <w:bottom w:val="single" w:color="C9A24A" w:sz="6" w:space="1"/>
        </w:pBdr>
        <w:spacing w:after="120" w:before="80"/>
      </w:pPr>
      <w:r>
        <w:t xml:space="preserve"/>
      </w:r>
    </w:p>
    <w:p>
      <w:pPr>
        <w:pStyle w:val="ListParagraph"/>
        <w:numPr>
          <w:ilvl w:val="0"/>
          <w:numId w:val="12"/>
        </w:numPr>
        <w:spacing w:after="100" w:before="60" w:line="300"/>
      </w:pPr>
      <w:r>
        <w:rPr>
          <w:rFonts w:ascii="Lato" w:cs="Lato" w:eastAsia="Lato" w:hAnsi="Lato"/>
          <w:color w:val="1A1A1A"/>
          <w:sz w:val="22"/>
          <w:szCs w:val="22"/>
        </w:rPr>
        <w:t xml:space="preserve">On final payment for any work giving rise to lien rights under Texas Property Code Chapter 53, Vendor shall furnish unconditional final lien waivers (in form acceptable to the Association) from Vendor and from each subcontractor or supplier providing labor or materials in connection with the work.</w:t>
      </w:r>
    </w:p>
    <w:p>
      <w:pPr>
        <w:pStyle w:val="ListParagraph"/>
        <w:numPr>
          <w:ilvl w:val="0"/>
          <w:numId w:val="12"/>
        </w:numPr>
        <w:spacing w:after="100" w:before="60" w:line="300"/>
      </w:pPr>
      <w:r>
        <w:rPr>
          <w:rFonts w:ascii="Lato" w:cs="Lato" w:eastAsia="Lato" w:hAnsi="Lato"/>
          <w:color w:val="1A1A1A"/>
          <w:sz w:val="22"/>
          <w:szCs w:val="22"/>
        </w:rPr>
        <w:t xml:space="preserve">Vendor shall promptly bond off or otherwise discharge any lien filed against the Association’s property by Vendor or any subcontractor or supplier of Vendor.</w:t>
      </w:r>
    </w:p>
    <w:p>
      <w:pPr>
        <w:spacing w:after="0" w:before="280"/>
      </w:pPr>
      <w:r>
        <w:rPr>
          <w:rFonts w:ascii="Lato" w:cs="Lato" w:eastAsia="Lato" w:hAnsi="Lato"/>
          <w:b/>
          <w:bCs/>
          <w:color w:val="C9A24A"/>
          <w:spacing w:val="120"/>
          <w:sz w:val="16"/>
          <w:szCs w:val="16"/>
        </w:rPr>
        <w:t xml:space="preserve">ARTICLE 12</w:t>
      </w:r>
    </w:p>
    <w:p>
      <w:pPr>
        <w:spacing w:after="60" w:before="0"/>
      </w:pPr>
      <w:r>
        <w:rPr>
          <w:rFonts w:ascii="Garamond" w:cs="Garamond" w:eastAsia="Garamond" w:hAnsi="Garamond"/>
          <w:b/>
          <w:bCs/>
          <w:color w:val="173F35"/>
          <w:sz w:val="30"/>
          <w:szCs w:val="30"/>
        </w:rPr>
        <w:t xml:space="preserve">Governing Law, Venue, and Notices</w:t>
      </w:r>
    </w:p>
    <w:p>
      <w:pPr>
        <w:pBdr>
          <w:bottom w:val="single" w:color="C9A24A" w:sz="6" w:space="1"/>
        </w:pBdr>
        <w:spacing w:after="120" w:before="80"/>
      </w:pPr>
      <w:r>
        <w:t xml:space="preserve"/>
      </w:r>
    </w:p>
    <w:p>
      <w:pPr>
        <w:pStyle w:val="ListParagraph"/>
        <w:numPr>
          <w:ilvl w:val="0"/>
          <w:numId w:val="13"/>
        </w:numPr>
        <w:spacing w:after="100" w:before="60" w:line="300"/>
      </w:pPr>
      <w:r>
        <w:rPr>
          <w:rFonts w:ascii="Lato" w:cs="Lato" w:eastAsia="Lato" w:hAnsi="Lato"/>
          <w:color w:val="1A1A1A"/>
          <w:sz w:val="22"/>
          <w:szCs w:val="22"/>
        </w:rPr>
        <w:t xml:space="preserve">This Agreement shall be governed by and construed in accordance with the laws of the State of Texas without regard to its conflict-of-laws principles.</w:t>
      </w:r>
    </w:p>
    <w:p>
      <w:pPr>
        <w:pStyle w:val="ListParagraph"/>
        <w:numPr>
          <w:ilvl w:val="0"/>
          <w:numId w:val="13"/>
        </w:numPr>
        <w:spacing w:after="100" w:before="60" w:line="300"/>
      </w:pPr>
      <w:r>
        <w:rPr>
          <w:rFonts w:ascii="Lato" w:cs="Lato" w:eastAsia="Lato" w:hAnsi="Lato"/>
          <w:color w:val="1A1A1A"/>
          <w:sz w:val="22"/>
          <w:szCs w:val="22"/>
        </w:rPr>
        <w:t xml:space="preserve">Exclusive venue for any action arising out of or relating to this Agreement shall lie in the state and federal courts located in Harris County, Texas.</w:t>
      </w:r>
    </w:p>
    <w:p>
      <w:pPr>
        <w:pStyle w:val="ListParagraph"/>
        <w:numPr>
          <w:ilvl w:val="0"/>
          <w:numId w:val="13"/>
        </w:numPr>
        <w:spacing w:after="100" w:before="60" w:line="300"/>
      </w:pPr>
      <w:r>
        <w:rPr>
          <w:rFonts w:ascii="Lato" w:cs="Lato" w:eastAsia="Lato" w:hAnsi="Lato"/>
          <w:color w:val="1A1A1A"/>
          <w:sz w:val="22"/>
          <w:szCs w:val="22"/>
        </w:rPr>
        <w:t xml:space="preserve">Notices shall be in writing and addressed to:  Association — Cypress Ridge Community Association, c/o Diane Marquez, Community Manager, 27500 Cypress Ridge Parkway, Cypress, Texas 77433.  Vendor — Cypress Turf &amp; Co., LLC, c/o Michael Reyes, 14210 Crescent Bend Drive, Suite 110, Cypress, Texas 77429.</w:t>
      </w:r>
    </w:p>
    <w:p>
      <w:pPr>
        <w:pStyle w:val="ListParagraph"/>
        <w:numPr>
          <w:ilvl w:val="0"/>
          <w:numId w:val="13"/>
        </w:numPr>
        <w:spacing w:after="100" w:before="60" w:line="300"/>
      </w:pPr>
      <w:r>
        <w:rPr>
          <w:rFonts w:ascii="Lato" w:cs="Lato" w:eastAsia="Lato" w:hAnsi="Lato"/>
          <w:color w:val="1A1A1A"/>
          <w:sz w:val="22"/>
          <w:szCs w:val="22"/>
        </w:rPr>
        <w:t xml:space="preserve">Notices are deemed given (a) on personal delivery; (b) one (1) business day after deposit with a nationally recognized overnight courier; or (c) three (3) business days after deposit in the United States mail, certified return receipt requested.</w:t>
      </w:r>
    </w:p>
    <w:p>
      <w:pPr>
        <w:pStyle w:val="ListParagraph"/>
        <w:numPr>
          <w:ilvl w:val="0"/>
          <w:numId w:val="13"/>
        </w:numPr>
        <w:spacing w:after="100" w:before="60" w:line="300"/>
      </w:pPr>
      <w:r>
        <w:rPr>
          <w:rFonts w:ascii="Lato" w:cs="Lato" w:eastAsia="Lato" w:hAnsi="Lato"/>
          <w:color w:val="1A1A1A"/>
          <w:sz w:val="22"/>
          <w:szCs w:val="22"/>
        </w:rPr>
        <w:t xml:space="preserve">Either Party may update its notice address by written notice to the other Party.</w:t>
      </w:r>
    </w:p>
    <w:p>
      <w:pPr>
        <w:spacing w:after="0" w:before="280"/>
      </w:pPr>
      <w:r>
        <w:rPr>
          <w:rFonts w:ascii="Lato" w:cs="Lato" w:eastAsia="Lato" w:hAnsi="Lato"/>
          <w:b/>
          <w:bCs/>
          <w:color w:val="C9A24A"/>
          <w:spacing w:val="120"/>
          <w:sz w:val="16"/>
          <w:szCs w:val="16"/>
        </w:rPr>
        <w:t xml:space="preserve">ARTICLE 13</w:t>
      </w:r>
    </w:p>
    <w:p>
      <w:pPr>
        <w:spacing w:after="60" w:before="0"/>
      </w:pPr>
      <w:r>
        <w:rPr>
          <w:rFonts w:ascii="Garamond" w:cs="Garamond" w:eastAsia="Garamond" w:hAnsi="Garamond"/>
          <w:b/>
          <w:bCs/>
          <w:color w:val="173F35"/>
          <w:sz w:val="30"/>
          <w:szCs w:val="30"/>
        </w:rPr>
        <w:t xml:space="preserve">General Provisions</w:t>
      </w:r>
    </w:p>
    <w:p>
      <w:pPr>
        <w:pBdr>
          <w:bottom w:val="single" w:color="C9A24A" w:sz="6" w:space="1"/>
        </w:pBdr>
        <w:spacing w:after="120" w:before="80"/>
      </w:pPr>
      <w:r>
        <w:t xml:space="preserve"/>
      </w:r>
    </w:p>
    <w:p>
      <w:pPr>
        <w:pStyle w:val="ListParagraph"/>
        <w:numPr>
          <w:ilvl w:val="0"/>
          <w:numId w:val="14"/>
        </w:numPr>
        <w:spacing w:after="100" w:before="60" w:line="300"/>
      </w:pPr>
      <w:r>
        <w:rPr>
          <w:rFonts w:ascii="Lato" w:cs="Lato" w:eastAsia="Lato" w:hAnsi="Lato"/>
          <w:color w:val="1A1A1A"/>
          <w:sz w:val="22"/>
          <w:szCs w:val="22"/>
        </w:rPr>
        <w:t xml:space="preserve">Entire Agreement. This Agreement, together with the RFP, the Vendor’s Proposal (including the Bid Sheet and the Bid Authorization &amp; Affidavit), and any duly executed amendments, constitutes the entire agreement between the Parties.</w:t>
      </w:r>
    </w:p>
    <w:p>
      <w:pPr>
        <w:pStyle w:val="ListParagraph"/>
        <w:numPr>
          <w:ilvl w:val="0"/>
          <w:numId w:val="14"/>
        </w:numPr>
        <w:spacing w:after="100" w:before="60" w:line="300"/>
      </w:pPr>
      <w:r>
        <w:rPr>
          <w:rFonts w:ascii="Lato" w:cs="Lato" w:eastAsia="Lato" w:hAnsi="Lato"/>
          <w:color w:val="1A1A1A"/>
          <w:sz w:val="22"/>
          <w:szCs w:val="22"/>
        </w:rPr>
        <w:t xml:space="preserve">Order of Precedence: (1) this Agreement; (2) executed written amendments; (3) the RFP and any addenda; (4) the Vendor’s Proposal.</w:t>
      </w:r>
    </w:p>
    <w:p>
      <w:pPr>
        <w:pStyle w:val="ListParagraph"/>
        <w:numPr>
          <w:ilvl w:val="0"/>
          <w:numId w:val="14"/>
        </w:numPr>
        <w:spacing w:after="100" w:before="60" w:line="300"/>
      </w:pPr>
      <w:r>
        <w:rPr>
          <w:rFonts w:ascii="Lato" w:cs="Lato" w:eastAsia="Lato" w:hAnsi="Lato"/>
          <w:color w:val="1A1A1A"/>
          <w:sz w:val="22"/>
          <w:szCs w:val="22"/>
        </w:rPr>
        <w:t xml:space="preserve">Amendments. This Agreement may be amended only by a written instrument signed by both Parties.</w:t>
      </w:r>
    </w:p>
    <w:p>
      <w:pPr>
        <w:pStyle w:val="ListParagraph"/>
        <w:numPr>
          <w:ilvl w:val="0"/>
          <w:numId w:val="14"/>
        </w:numPr>
        <w:spacing w:after="100" w:before="60" w:line="300"/>
      </w:pPr>
      <w:r>
        <w:rPr>
          <w:rFonts w:ascii="Lato" w:cs="Lato" w:eastAsia="Lato" w:hAnsi="Lato"/>
          <w:color w:val="1A1A1A"/>
          <w:sz w:val="22"/>
          <w:szCs w:val="22"/>
        </w:rPr>
        <w:t xml:space="preserve">Assignment. Neither Party may assign this Agreement without the prior written consent of the other Party, except that the Association may assign to a successor association by operation of law.</w:t>
      </w:r>
    </w:p>
    <w:p>
      <w:pPr>
        <w:pStyle w:val="ListParagraph"/>
        <w:numPr>
          <w:ilvl w:val="0"/>
          <w:numId w:val="14"/>
        </w:numPr>
        <w:spacing w:after="100" w:before="60" w:line="300"/>
      </w:pPr>
      <w:r>
        <w:rPr>
          <w:rFonts w:ascii="Lato" w:cs="Lato" w:eastAsia="Lato" w:hAnsi="Lato"/>
          <w:color w:val="1A1A1A"/>
          <w:sz w:val="22"/>
          <w:szCs w:val="22"/>
        </w:rPr>
        <w:t xml:space="preserve">Severability. If any provision is held unenforceable, the remaining provisions shall remain in full force and effect.</w:t>
      </w:r>
    </w:p>
    <w:p>
      <w:pPr>
        <w:pStyle w:val="ListParagraph"/>
        <w:numPr>
          <w:ilvl w:val="0"/>
          <w:numId w:val="14"/>
        </w:numPr>
        <w:spacing w:after="100" w:before="60" w:line="300"/>
      </w:pPr>
      <w:r>
        <w:rPr>
          <w:rFonts w:ascii="Lato" w:cs="Lato" w:eastAsia="Lato" w:hAnsi="Lato"/>
          <w:color w:val="1A1A1A"/>
          <w:sz w:val="22"/>
          <w:szCs w:val="22"/>
        </w:rPr>
        <w:t xml:space="preserve">Counterparts. This Agreement may be executed in counterparts; electronic signatures are effective under Tex. Bus. &amp; Com. Code Ch. 322.</w:t>
      </w:r>
    </w:p>
    <w:p>
      <w:pPr>
        <w:pStyle w:val="ListParagraph"/>
        <w:numPr>
          <w:ilvl w:val="0"/>
          <w:numId w:val="14"/>
        </w:numPr>
        <w:spacing w:after="100" w:before="60" w:line="300"/>
      </w:pPr>
      <w:r>
        <w:rPr>
          <w:rFonts w:ascii="Lato" w:cs="Lato" w:eastAsia="Lato" w:hAnsi="Lato"/>
          <w:color w:val="1A1A1A"/>
          <w:sz w:val="22"/>
          <w:szCs w:val="22"/>
        </w:rPr>
        <w:t xml:space="preserve">Force Majeure. Neither Party is liable for any failure or delay caused by an event reasonably beyond its control.</w:t>
      </w:r>
    </w:p>
    <w:p>
      <w:r>
        <w:br w:type="page"/>
      </w:r>
    </w:p>
    <w:p>
      <w:pPr>
        <w:spacing w:after="60" w:before="0"/>
      </w:pPr>
      <w:r>
        <w:rPr>
          <w:rFonts w:ascii="Lato" w:cs="Lato" w:eastAsia="Lato" w:hAnsi="Lato"/>
          <w:b/>
          <w:bCs/>
          <w:color w:val="C9A24A"/>
          <w:spacing w:val="100"/>
          <w:sz w:val="16"/>
          <w:szCs w:val="16"/>
        </w:rPr>
        <w:t xml:space="preserve">SECTION 14</w:t>
      </w:r>
    </w:p>
    <w:p>
      <w:pPr>
        <w:pStyle w:val="Heading1"/>
        <w:spacing w:after="160" w:before="280"/>
      </w:pPr>
      <w:r>
        <w:rPr>
          <w:rFonts w:ascii="Garamond" w:cs="Garamond" w:eastAsia="Garamond" w:hAnsi="Garamond"/>
          <w:b/>
          <w:bCs/>
          <w:color w:val="173F35"/>
          <w:sz w:val="40"/>
          <w:szCs w:val="40"/>
        </w:rPr>
        <w:t xml:space="preserve">Signatures</w:t>
      </w:r>
    </w:p>
    <w:p>
      <w:pPr>
        <w:pBdr>
          <w:bottom w:val="single" w:color="C9A24A" w:sz="8" w:space="1"/>
        </w:pBdr>
        <w:spacing w:after="120" w:before="80"/>
      </w:pPr>
      <w:r>
        <w:t xml:space="preserve"/>
      </w:r>
    </w:p>
    <w:p>
      <w:pPr>
        <w:spacing w:after="240" w:before="0" w:line="320"/>
        <w:jc w:val="left"/>
      </w:pPr>
      <w:r>
        <w:rPr>
          <w:rFonts w:ascii="Lato" w:cs="Lato" w:eastAsia="Lato" w:hAnsi="Lato"/>
          <w:color w:val="1A1A1A"/>
          <w:sz w:val="22"/>
          <w:szCs w:val="22"/>
        </w:rPr>
        <w:t xml:space="preserve">IN WITNESS WHEREOF, the Parties have caused this Agreement to be executed by their duly authorized representatives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73F35" w:sz="8"/>
              <w:left w:val="single" w:color="173F35" w:sz="24"/>
              <w:bottom w:val="single" w:color="173F35" w:sz="8"/>
              <w:right w:val="single" w:color="173F35" w:sz="4"/>
            </w:tcBorders>
            <w:shd w:fill="DDE7E2" w:color="auto" w:val="clear"/>
            <w:tcMar>
              <w:top w:type="dxa" w:w="240"/>
              <w:left w:type="dxa" w:w="240"/>
              <w:bottom w:type="dxa" w:w="240"/>
              <w:right w:type="dxa" w:w="240"/>
            </w:tcMar>
          </w:tcPr>
          <w:p>
            <w:pPr>
              <w:spacing w:after="120"/>
            </w:pPr>
            <w:r>
              <w:rPr>
                <w:rFonts w:ascii="Lato" w:cs="Lato" w:eastAsia="Lato" w:hAnsi="Lato"/>
                <w:b/>
                <w:bCs/>
                <w:color w:val="173F35"/>
                <w:spacing w:val="100"/>
                <w:sz w:val="16"/>
                <w:szCs w:val="16"/>
              </w:rPr>
              <w:t xml:space="preserve">ASSOCIATION</w:t>
            </w:r>
          </w:p>
          <w:p>
            <w:pPr>
              <w:spacing w:after="200" w:before="0" w:line="300"/>
              <w:jc w:val="left"/>
            </w:pPr>
            <w:r>
              <w:rPr>
                <w:rFonts w:ascii="Lato" w:cs="Lato" w:eastAsia="Lato" w:hAnsi="Lato"/>
                <w:b/>
                <w:bCs/>
                <w:color w:val="1A1A1A"/>
                <w:sz w:val="22"/>
                <w:szCs w:val="22"/>
              </w:rPr>
              <w:t xml:space="preserve">Cypress Ridge Community Association</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1A1A1A"/>
                <w:sz w:val="18"/>
                <w:szCs w:val="18"/>
              </w:rPr>
              <w:t xml:space="preserve">Print Name: [President Name]</w:t>
            </w:r>
          </w:p>
          <w:p>
            <w:pPr>
              <w:spacing w:after="60" w:before="0" w:line="300"/>
              <w:jc w:val="left"/>
            </w:pPr>
            <w:r>
              <w:rPr>
                <w:rFonts w:ascii="Lato" w:cs="Lato" w:eastAsia="Lato" w:hAnsi="Lato"/>
                <w:color w:val="1A1A1A"/>
                <w:sz w:val="18"/>
                <w:szCs w:val="18"/>
              </w:rPr>
              <w:t xml:space="preserve">Title: Board President</w:t>
            </w:r>
          </w:p>
          <w:p>
            <w:pPr>
              <w:spacing w:after="0" w:before="0" w:line="300"/>
              <w:jc w:val="left"/>
            </w:pPr>
            <w:r>
              <w:rPr>
                <w:rFonts w:ascii="Lato" w:cs="Lato" w:eastAsia="Lato" w:hAnsi="Lato"/>
                <w:color w:val="5C5C5C"/>
                <w:sz w:val="18"/>
                <w:szCs w:val="18"/>
              </w:rPr>
              <w:t xml:space="preserve">Date: ____________________________________</w:t>
            </w:r>
          </w:p>
        </w:tc>
        <w:tc>
          <w:tcPr>
            <w:tcW w:type="dxa" w:w="4680"/>
            <w:tcBorders>
              <w:top w:val="single" w:color="C9A24A" w:sz="8"/>
              <w:left w:val="single" w:color="C9A24A" w:sz="24"/>
              <w:bottom w:val="single" w:color="C9A24A" w:sz="8"/>
              <w:right w:val="single" w:color="C9A24A" w:sz="4"/>
            </w:tcBorders>
            <w:shd w:fill="EAE2C7" w:color="auto" w:val="clear"/>
            <w:tcMar>
              <w:top w:type="dxa" w:w="240"/>
              <w:left w:type="dxa" w:w="240"/>
              <w:bottom w:type="dxa" w:w="240"/>
              <w:right w:type="dxa" w:w="240"/>
            </w:tcMar>
          </w:tcPr>
          <w:p>
            <w:pPr>
              <w:spacing w:after="120"/>
            </w:pPr>
            <w:r>
              <w:rPr>
                <w:rFonts w:ascii="Lato" w:cs="Lato" w:eastAsia="Lato" w:hAnsi="Lato"/>
                <w:b/>
                <w:bCs/>
                <w:color w:val="173F35"/>
                <w:spacing w:val="100"/>
                <w:sz w:val="16"/>
                <w:szCs w:val="16"/>
              </w:rPr>
              <w:t xml:space="preserve">VENDOR</w:t>
            </w:r>
          </w:p>
          <w:p>
            <w:pPr>
              <w:spacing w:after="200" w:before="0" w:line="300"/>
              <w:jc w:val="left"/>
            </w:pPr>
            <w:r>
              <w:rPr>
                <w:rFonts w:ascii="Lato" w:cs="Lato" w:eastAsia="Lato" w:hAnsi="Lato"/>
                <w:b/>
                <w:bCs/>
                <w:color w:val="1A1A1A"/>
                <w:sz w:val="22"/>
                <w:szCs w:val="22"/>
              </w:rPr>
              <w:t xml:space="preserve">Cypress Turf &amp; Co., LLC</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1A1A1A"/>
                <w:sz w:val="18"/>
                <w:szCs w:val="18"/>
              </w:rPr>
              <w:t xml:space="preserve">Title: Authorized Officer</w:t>
            </w:r>
          </w:p>
          <w:p>
            <w:pPr>
              <w:spacing w:after="0" w:before="0" w:line="300"/>
              <w:jc w:val="left"/>
            </w:pPr>
            <w:r>
              <w:rPr>
                <w:rFonts w:ascii="Lato" w:cs="Lato" w:eastAsia="Lato" w:hAnsi="Lato"/>
                <w:color w:val="5C5C5C"/>
                <w:sz w:val="18"/>
                <w:szCs w:val="18"/>
              </w:rPr>
              <w:t xml:space="preserve">Date: ____________________________________</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Exhibits</w:t>
      </w:r>
    </w:p>
    <w:p>
      <w:pPr>
        <w:pStyle w:val="ListParagraph"/>
        <w:numPr>
          <w:ilvl w:val="0"/>
          <w:numId w:val="15"/>
        </w:numPr>
        <w:spacing w:after="60" w:before="40" w:line="290"/>
      </w:pPr>
      <w:r>
        <w:rPr>
          <w:rFonts w:ascii="Lato" w:cs="Lato" w:eastAsia="Lato" w:hAnsi="Lato"/>
          <w:color w:val="1A1A1A"/>
          <w:sz w:val="22"/>
          <w:szCs w:val="22"/>
        </w:rPr>
        <w:t xml:space="preserve">Exhibit A — Statement of Work (Section 3 of RFP # 2026-08-LANDSCAPE)</w:t>
      </w:r>
    </w:p>
    <w:p>
      <w:pPr>
        <w:pStyle w:val="ListParagraph"/>
        <w:numPr>
          <w:ilvl w:val="0"/>
          <w:numId w:val="15"/>
        </w:numPr>
        <w:spacing w:after="60" w:before="40" w:line="290"/>
      </w:pPr>
      <w:r>
        <w:rPr>
          <w:rFonts w:ascii="Lato" w:cs="Lato" w:eastAsia="Lato" w:hAnsi="Lato"/>
          <w:color w:val="1A1A1A"/>
          <w:sz w:val="22"/>
          <w:szCs w:val="22"/>
        </w:rPr>
        <w:t xml:space="preserve">Exhibit B — Vendor’s Bid Sheet dated September 28, 2026</w:t>
      </w:r>
    </w:p>
    <w:p>
      <w:pPr>
        <w:pStyle w:val="ListParagraph"/>
        <w:numPr>
          <w:ilvl w:val="0"/>
          <w:numId w:val="15"/>
        </w:numPr>
        <w:spacing w:after="60" w:before="40" w:line="290"/>
      </w:pPr>
      <w:r>
        <w:rPr>
          <w:rFonts w:ascii="Lato" w:cs="Lato" w:eastAsia="Lato" w:hAnsi="Lato"/>
          <w:color w:val="1A1A1A"/>
          <w:sz w:val="22"/>
          <w:szCs w:val="22"/>
        </w:rPr>
        <w:t xml:space="preserve">Exhibit C — Vendor’s Bid Authorization &amp; Affidavit dated September 28, 2026</w:t>
      </w:r>
    </w:p>
    <w:p>
      <w:pPr>
        <w:pStyle w:val="ListParagraph"/>
        <w:numPr>
          <w:ilvl w:val="0"/>
          <w:numId w:val="15"/>
        </w:numPr>
        <w:spacing w:after="60" w:before="40" w:line="290"/>
      </w:pPr>
      <w:r>
        <w:rPr>
          <w:rFonts w:ascii="Lato" w:cs="Lato" w:eastAsia="Lato" w:hAnsi="Lato"/>
          <w:color w:val="1A1A1A"/>
          <w:sz w:val="22"/>
          <w:szCs w:val="22"/>
        </w:rPr>
        <w:t xml:space="preserve">Exhibit D — Vendor’s Certificate of Insurance dated December 15, 2026</w:t>
      </w:r>
    </w:p>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Vendor Services Agreement  •  Landscape  •  Texas</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VSA — Landscape (TX)</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5"/>
    <w:lvlOverride w:ilvl="0">
      <w:startOverride w:val="1"/>
    </w:lvlOverride>
  </w:num>
  <w:num w:numId="3">
    <w:abstractNumId w:val="6"/>
    <w:lvlOverride w:ilvl="0">
      <w:startOverride w:val="1"/>
    </w:lvlOverride>
  </w:num>
  <w:num w:numId="4">
    <w:abstractNumId w:val="7"/>
    <w:lvlOverride w:ilvl="0">
      <w:startOverride w:val="1"/>
    </w:lvlOverride>
  </w:num>
  <w:num w:numId="5">
    <w:abstractNumId w:val="8"/>
    <w:lvlOverride w:ilvl="0">
      <w:startOverride w:val="1"/>
    </w:lvlOverride>
  </w:num>
  <w:num w:numId="6">
    <w:abstractNumId w:val="9"/>
    <w:lvlOverride w:ilvl="0">
      <w:startOverride w:val="1"/>
    </w:lvlOverride>
  </w:num>
  <w:num w:numId="7">
    <w:abstractNumId w:val="10"/>
    <w:lvlOverride w:ilvl="0">
      <w:startOverride w:val="1"/>
    </w:lvlOverride>
  </w:num>
  <w:num w:numId="8">
    <w:abstractNumId w:val="11"/>
    <w:lvlOverride w:ilvl="0">
      <w:startOverride w:val="1"/>
    </w:lvlOverride>
  </w:num>
  <w:num w:numId="9">
    <w:abstractNumId w:val="12"/>
    <w:lvlOverride w:ilvl="0">
      <w:startOverride w:val="1"/>
    </w:lvlOverride>
  </w:num>
  <w:num w:numId="10">
    <w:abstractNumId w:val="13"/>
    <w:lvlOverride w:ilvl="0">
      <w:startOverride w:val="1"/>
    </w:lvlOverride>
  </w:num>
  <w:num w:numId="11">
    <w:abstractNumId w:val="14"/>
    <w:lvlOverride w:ilvl="0">
      <w:startOverride w:val="1"/>
    </w:lvlOverride>
  </w:num>
  <w:num w:numId="12">
    <w:abstractNumId w:val="15"/>
    <w:lvlOverride w:ilvl="0">
      <w:startOverride w:val="1"/>
    </w:lvlOverride>
  </w:num>
  <w:num w:numId="13">
    <w:abstractNumId w:val="16"/>
    <w:lvlOverride w:ilvl="0">
      <w:startOverride w:val="1"/>
    </w:lvlOverride>
  </w:num>
  <w:num w:numId="14">
    <w:abstractNumId w:val="17"/>
    <w:lvlOverride w:ilvl="0">
      <w:startOverride w:val="1"/>
    </w:lvlOverride>
  </w:num>
  <w:num w:numId="15">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Vendor Services Agreement — Landscape (Texas)</dc:title>
  <dc:creator>Common Interest Community Standards Council (CIC-SC)</dc:creator>
  <dc:description>CIC-SC standalone draft (illustrative).</dc:description>
  <cp:lastModifiedBy>Un-named</cp:lastModifiedBy>
  <cp:revision>1</cp:revision>
  <dcterms:created xsi:type="dcterms:W3CDTF">2026-05-10T21:52:28.175Z</dcterms:created>
  <dcterms:modified xsi:type="dcterms:W3CDTF">2026-05-10T21:52:28.175Z</dcterms:modified>
</cp:coreProperties>
</file>

<file path=docProps/custom.xml><?xml version="1.0" encoding="utf-8"?>
<Properties xmlns="http://schemas.openxmlformats.org/officeDocument/2006/custom-properties" xmlns:vt="http://schemas.openxmlformats.org/officeDocument/2006/docPropsVTypes"/>
</file>