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Sample RFP  /  Standalone Draft / Tier 3–4 Capital</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Roof Replacement</w:t>
      </w:r>
    </w:p>
    <w:p>
      <w:pPr>
        <w:spacing w:after="240" w:before="0"/>
        <w:jc w:val="left"/>
      </w:pPr>
      <w:r>
        <w:rPr>
          <w:rFonts w:ascii="Garamond" w:cs="Garamond" w:eastAsia="Garamond" w:hAnsi="Garamond"/>
          <w:i/>
          <w:iCs/>
          <w:color w:val="173F35"/>
          <w:sz w:val="60"/>
          <w:szCs w:val="60"/>
        </w:rPr>
        <w:t xml:space="preserve">Building 4</w:t>
      </w:r>
    </w:p>
    <w:p>
      <w:pPr>
        <w:spacing w:after="1200" w:before="80"/>
        <w:jc w:val="left"/>
      </w:pPr>
      <w:r>
        <w:rPr>
          <w:rFonts w:ascii="Lato" w:cs="Lato" w:eastAsia="Lato" w:hAnsi="Lato"/>
          <w:color w:val="1A1A1A"/>
          <w:sz w:val="24"/>
          <w:szCs w:val="24"/>
        </w:rPr>
        <w:t xml:space="preserve">Sample RFP for the Building 4 roof replacement at Cypress Ridge Community Association, a fictional Texas HOA. Capital project, reserve-funded, ~$850,000 estimated value, bonding required.</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Standalone Draft  •  Capital Project  •  Texas Sample</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HOA Boards  •  Reserve Committees  •  Capital Committees  •  Association Managers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RFP Tier 3/4 Adoption-Ready Template  •  Comparative Proposal Evaluation Worksheet  •  Reserve Study Education</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THIS IS A FULLY POPULATED EXAMPLE</w:t>
            </w:r>
          </w:p>
          <w:p>
            <w:pPr>
              <w:spacing w:after="0" w:before="0" w:line="300"/>
              <w:jc w:val="left"/>
            </w:pPr>
            <w:r>
              <w:rPr>
                <w:rFonts w:ascii="Lato" w:cs="Lato" w:eastAsia="Lato" w:hAnsi="Lato"/>
                <w:color w:val="1A1A1A"/>
                <w:sz w:val="22"/>
                <w:szCs w:val="22"/>
              </w:rPr>
              <w:t xml:space="preserve">The names, dates, dollar values, square footage, and product specifications are illustrative. Replace with your association’s information before issuing. The structure, bonding requirements, insurance limits, retainage, and lien-waiver provisions reflect CIC-SC best practice for a Texas capital project anchored in a reserve study.</w:t>
            </w:r>
          </w:p>
        </w:tc>
      </w:tr>
    </w:tbl>
    <w:p>
      <w:pPr>
        <w:spacing w:after="8" w:before="8"/>
      </w:pPr>
      <w:r>
        <w:rPr>
          <w:sz w:val="2"/>
          <w:szCs w:val="2"/>
        </w:rPr>
        <w:t xml:space="preserve"/>
      </w:r>
    </w:p>
    <w:p>
      <w:r>
        <w:br w:type="page"/>
      </w:r>
    </w:p>
    <w:p>
      <w:pPr>
        <w:spacing w:after="60" w:before="0"/>
      </w:pPr>
      <w:r>
        <w:rPr>
          <w:rFonts w:ascii="Lato" w:cs="Lato" w:eastAsia="Lato" w:hAnsi="Lato"/>
          <w:b/>
          <w:bCs/>
          <w:color w:val="C9A24A"/>
          <w:spacing w:val="100"/>
          <w:sz w:val="16"/>
          <w:szCs w:val="16"/>
        </w:rPr>
        <w:t xml:space="preserve">SECTION 1</w:t>
      </w:r>
    </w:p>
    <w:p>
      <w:pPr>
        <w:pStyle w:val="Heading1"/>
        <w:spacing w:after="160" w:before="280"/>
      </w:pPr>
      <w:r>
        <w:rPr>
          <w:rFonts w:ascii="Garamond" w:cs="Garamond" w:eastAsia="Garamond" w:hAnsi="Garamond"/>
          <w:b/>
          <w:bCs/>
          <w:color w:val="173F35"/>
          <w:sz w:val="40"/>
          <w:szCs w:val="40"/>
        </w:rPr>
        <w:t xml:space="preserve">Project Information</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Issuing Association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Cypress Ridge Community Association</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27500 Cypress Ridge Parkway, Cypress, Texas 77433</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State of Operation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Texas</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Project Type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Capital Project — Roof Replacement</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Project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Building 4 Roof Replacement</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RFP Reference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2026-09-ROOFING</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Estimated Project Value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$825,000 – $900,000</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Reserve Study Reference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2025 Update, Component R-4 (Building 4 Roofs), Pages 23–25</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Funding Source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Reserve Fund (component fully funded as of December 31, 2025)</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Term / Completion Window</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March 1, 2027 – June 15, 2027 (Substantial Completion)</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Primary Point of Contact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Diane Marquez, Community Manager</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rfp@cypressridge-ca.example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(281) 555-0142</w:t>
            </w:r>
          </w:p>
        </w:tc>
      </w:tr>
    </w:tbl>
    <w:p>
      <w:r>
        <w:br w:type="page"/>
      </w:r>
    </w:p>
    <w:p>
      <w:pPr>
        <w:spacing w:after="60" w:before="0"/>
      </w:pPr>
      <w:r>
        <w:rPr>
          <w:rFonts w:ascii="Lato" w:cs="Lato" w:eastAsia="Lato" w:hAnsi="Lato"/>
          <w:b/>
          <w:bCs/>
          <w:color w:val="C9A24A"/>
          <w:spacing w:val="100"/>
          <w:sz w:val="16"/>
          <w:szCs w:val="16"/>
        </w:rPr>
        <w:t xml:space="preserve">SECTION 2</w:t>
      </w:r>
    </w:p>
    <w:p>
      <w:pPr>
        <w:pStyle w:val="Heading1"/>
        <w:spacing w:after="160" w:before="280"/>
      </w:pPr>
      <w:r>
        <w:rPr>
          <w:rFonts w:ascii="Garamond" w:cs="Garamond" w:eastAsia="Garamond" w:hAnsi="Garamond"/>
          <w:b/>
          <w:bCs/>
          <w:color w:val="173F35"/>
          <w:sz w:val="40"/>
          <w:szCs w:val="40"/>
        </w:rPr>
        <w:t xml:space="preserve">Project Background &amp; Context</w:t>
      </w:r>
    </w:p>
    <w:p>
      <w:pPr>
        <w:pBdr>
          <w:bottom w:val="single" w:color="C9A24A" w:sz="8" w:space="1"/>
        </w:pBdr>
        <w:spacing w:after="120" w:before="80"/>
      </w:pPr>
      <w:r>
        <w:t xml:space="preserve"/>
      </w:r>
    </w:p>
    <w:p>
      <w:pPr>
        <w:pStyle w:val="Heading3"/>
        <w:spacing w:after="160" w:before="280"/>
      </w:pPr>
      <w:r>
        <w:rPr>
          <w:rFonts w:ascii="Garamond" w:cs="Garamond" w:eastAsia="Garamond" w:hAnsi="Garamond"/>
          <w:b/>
          <w:bCs/>
          <w:color w:val="173F35"/>
          <w:sz w:val="26"/>
          <w:szCs w:val="26"/>
        </w:rPr>
        <w:t xml:space="preserve">2.1  About the Association</w:t>
      </w:r>
    </w:p>
    <w:p>
      <w:pPr>
        <w:pStyle w:val="ListParagraph"/>
        <w:numPr>
          <w:ilvl w:val="0"/>
          <w:numId w:val="2"/>
        </w:numPr>
        <w:spacing w:after="60" w:before="40" w:line="290"/>
      </w:pPr>
      <w:r>
        <w:rPr>
          <w:rFonts w:ascii="Lato" w:cs="Lato" w:eastAsia="Lato" w:hAnsi="Lato"/>
          <w:color w:val="1A1A1A"/>
          <w:sz w:val="22"/>
          <w:szCs w:val="22"/>
        </w:rPr>
        <w:t xml:space="preserve">486 single-family homes plus 8 small clubhouse / amenity buildings; master-planned HOA founded 2008; ~720 acres total community area.</w:t>
      </w:r>
    </w:p>
    <w:p>
      <w:pPr>
        <w:pStyle w:val="ListParagraph"/>
        <w:numPr>
          <w:ilvl w:val="0"/>
          <w:numId w:val="2"/>
        </w:numPr>
        <w:spacing w:after="60" w:before="40" w:line="290"/>
      </w:pPr>
      <w:r>
        <w:rPr>
          <w:rFonts w:ascii="Lato" w:cs="Lato" w:eastAsia="Lato" w:hAnsi="Lato"/>
          <w:color w:val="1A1A1A"/>
          <w:sz w:val="22"/>
          <w:szCs w:val="22"/>
        </w:rPr>
        <w:t xml:space="preserve">Building 4 is the 22,400 sq. ft. residents’ clubhouse and recreation center, completed 2009; constructed slab-on-grade with engineered wood truss roof framing and asphalt shingle assembly.</w:t>
      </w:r>
    </w:p>
    <w:p>
      <w:pPr>
        <w:pStyle w:val="ListParagraph"/>
        <w:numPr>
          <w:ilvl w:val="0"/>
          <w:numId w:val="2"/>
        </w:numPr>
        <w:spacing w:after="60" w:before="40" w:line="290"/>
      </w:pPr>
      <w:r>
        <w:rPr>
          <w:rFonts w:ascii="Lato" w:cs="Lato" w:eastAsia="Lato" w:hAnsi="Lato"/>
          <w:color w:val="1A1A1A"/>
          <w:sz w:val="22"/>
          <w:szCs w:val="22"/>
        </w:rPr>
        <w:t xml:space="preserve">Association governed by Tex. Prop. Code Ch. 209; organized under Tex. Bus. Orgs. Code Ch. 22.</w:t>
      </w:r>
    </w:p>
    <w:p>
      <w:pPr>
        <w:pStyle w:val="ListParagraph"/>
        <w:numPr>
          <w:ilvl w:val="0"/>
          <w:numId w:val="2"/>
        </w:numPr>
        <w:spacing w:after="60" w:before="40" w:line="290"/>
      </w:pPr>
      <w:r>
        <w:rPr>
          <w:rFonts w:ascii="Lato" w:cs="Lato" w:eastAsia="Lato" w:hAnsi="Lato"/>
          <w:color w:val="1A1A1A"/>
          <w:sz w:val="22"/>
          <w:szCs w:val="22"/>
        </w:rPr>
        <w:t xml:space="preserve">Professional management by Cypress Ridge Property Management LLC.</w:t>
      </w:r>
    </w:p>
    <w:p>
      <w:pPr>
        <w:pStyle w:val="Heading3"/>
        <w:spacing w:after="160" w:before="280"/>
      </w:pPr>
      <w:r>
        <w:rPr>
          <w:rFonts w:ascii="Garamond" w:cs="Garamond" w:eastAsia="Garamond" w:hAnsi="Garamond"/>
          <w:b/>
          <w:bCs/>
          <w:color w:val="173F35"/>
          <w:sz w:val="26"/>
          <w:szCs w:val="26"/>
        </w:rPr>
        <w:t xml:space="preserve">2.2  Business Need</w:t>
      </w:r>
    </w:p>
    <w:p>
      <w:pPr>
        <w:spacing w:after="200" w:before="0" w:line="320"/>
        <w:jc w:val="left"/>
      </w:pPr>
      <w:r>
        <w:rPr>
          <w:rFonts w:ascii="Lato" w:cs="Lato" w:eastAsia="Lato" w:hAnsi="Lato"/>
          <w:color w:val="1A1A1A"/>
          <w:sz w:val="22"/>
          <w:szCs w:val="22"/>
        </w:rPr>
        <w:t xml:space="preserve">The 2025 Reserve Study Update (page 23) identifies the Building 4 roof as reaching end of useful life in 2027 (16-year service life). Recent inspections (May and August 2026) confirmed isolated leaks at the south valley and granule loss approaching 60% across multiple slopes. The Reserve Component is fully funded at $890,000 as of December 31, 2025. The Board approved proceeding with replacement in lieu of repair at its September 22, 2026 meeting.</w:t>
      </w:r>
    </w:p>
    <w:p>
      <w:pPr>
        <w:pStyle w:val="Heading3"/>
        <w:spacing w:after="160" w:before="280"/>
      </w:pPr>
      <w:r>
        <w:rPr>
          <w:rFonts w:ascii="Garamond" w:cs="Garamond" w:eastAsia="Garamond" w:hAnsi="Garamond"/>
          <w:b/>
          <w:bCs/>
          <w:color w:val="173F35"/>
          <w:sz w:val="26"/>
          <w:szCs w:val="26"/>
        </w:rPr>
        <w:t xml:space="preserve">2.3  Underlying Documents (provided to Proposers in Attachment A)</w:t>
      </w:r>
    </w:p>
    <w:p>
      <w:pPr>
        <w:pStyle w:val="ListParagraph"/>
        <w:numPr>
          <w:ilvl w:val="0"/>
          <w:numId w:val="2"/>
        </w:numPr>
        <w:spacing w:after="60" w:before="40" w:line="290"/>
      </w:pPr>
      <w:r>
        <w:rPr>
          <w:rFonts w:ascii="Lato" w:cs="Lato" w:eastAsia="Lato" w:hAnsi="Lato"/>
          <w:color w:val="1A1A1A"/>
          <w:sz w:val="22"/>
          <w:szCs w:val="22"/>
        </w:rPr>
        <w:t xml:space="preserve">Excerpt from 2025 Reserve Study Update — Component R-4 (Building 4 Roof) — pages 23–25</w:t>
      </w:r>
    </w:p>
    <w:p>
      <w:pPr>
        <w:pStyle w:val="ListParagraph"/>
        <w:numPr>
          <w:ilvl w:val="0"/>
          <w:numId w:val="2"/>
        </w:numPr>
        <w:spacing w:after="60" w:before="40" w:line="290"/>
      </w:pPr>
      <w:r>
        <w:rPr>
          <w:rFonts w:ascii="Lato" w:cs="Lato" w:eastAsia="Lato" w:hAnsi="Lato"/>
          <w:color w:val="1A1A1A"/>
          <w:sz w:val="22"/>
          <w:szCs w:val="22"/>
        </w:rPr>
        <w:t xml:space="preserve">Independent roof condition assessment by Strickland Engineering, dated August 14, 2026 (24 pages, including infrared moisture survey and core samples)</w:t>
      </w:r>
    </w:p>
    <w:p>
      <w:pPr>
        <w:pStyle w:val="ListParagraph"/>
        <w:numPr>
          <w:ilvl w:val="0"/>
          <w:numId w:val="2"/>
        </w:numPr>
        <w:spacing w:after="60" w:before="40" w:line="290"/>
      </w:pPr>
      <w:r>
        <w:rPr>
          <w:rFonts w:ascii="Lato" w:cs="Lato" w:eastAsia="Lato" w:hAnsi="Lato"/>
          <w:color w:val="1A1A1A"/>
          <w:sz w:val="22"/>
          <w:szCs w:val="22"/>
        </w:rPr>
        <w:t xml:space="preserve">Original Building 4 architectural plans (2008) — sheets A201, A301, A501</w:t>
      </w:r>
    </w:p>
    <w:p>
      <w:pPr>
        <w:pStyle w:val="ListParagraph"/>
        <w:numPr>
          <w:ilvl w:val="0"/>
          <w:numId w:val="2"/>
        </w:numPr>
        <w:spacing w:after="60" w:before="40" w:line="290"/>
      </w:pPr>
      <w:r>
        <w:rPr>
          <w:rFonts w:ascii="Lato" w:cs="Lato" w:eastAsia="Lato" w:hAnsi="Lato"/>
          <w:color w:val="1A1A1A"/>
          <w:sz w:val="22"/>
          <w:szCs w:val="22"/>
        </w:rPr>
        <w:t xml:space="preserve">Photographs of all eight roof slopes, taken August 22, 2026</w:t>
      </w:r>
    </w:p>
    <w:p>
      <w:pPr>
        <w:pStyle w:val="ListParagraph"/>
        <w:numPr>
          <w:ilvl w:val="0"/>
          <w:numId w:val="2"/>
        </w:numPr>
        <w:spacing w:after="60" w:before="40" w:line="290"/>
      </w:pPr>
      <w:r>
        <w:rPr>
          <w:rFonts w:ascii="Lato" w:cs="Lato" w:eastAsia="Lato" w:hAnsi="Lato"/>
          <w:color w:val="1A1A1A"/>
          <w:sz w:val="22"/>
          <w:szCs w:val="22"/>
        </w:rPr>
        <w:t xml:space="preserve">Site plan with staging and access designations</w:t>
      </w:r>
    </w:p>
    <w:p>
      <w:r>
        <w:br w:type="page"/>
      </w:r>
    </w:p>
    <w:p>
      <w:pPr>
        <w:spacing w:after="60" w:before="0"/>
      </w:pPr>
      <w:r>
        <w:rPr>
          <w:rFonts w:ascii="Lato" w:cs="Lato" w:eastAsia="Lato" w:hAnsi="Lato"/>
          <w:b/>
          <w:bCs/>
          <w:color w:val="C9A24A"/>
          <w:spacing w:val="100"/>
          <w:sz w:val="16"/>
          <w:szCs w:val="16"/>
        </w:rPr>
        <w:t xml:space="preserve">SECTION 3</w:t>
      </w:r>
    </w:p>
    <w:p>
      <w:pPr>
        <w:pStyle w:val="Heading1"/>
        <w:spacing w:after="160" w:before="280"/>
      </w:pPr>
      <w:r>
        <w:rPr>
          <w:rFonts w:ascii="Garamond" w:cs="Garamond" w:eastAsia="Garamond" w:hAnsi="Garamond"/>
          <w:b/>
          <w:bCs/>
          <w:color w:val="173F35"/>
          <w:sz w:val="40"/>
          <w:szCs w:val="40"/>
        </w:rPr>
        <w:t xml:space="preserve">Schedule of Milestones</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All times are local time at the property. The Association reserves the right to update any date by written notice.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rPr>
          <w:tblHeader/>
        </w:trPr>
        <w:tc>
          <w:tcPr>
            <w:tcW w:type="dxa" w:w="540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MILESTONE</w:t>
            </w:r>
          </w:p>
        </w:tc>
        <w:tc>
          <w:tcPr>
            <w:tcW w:type="dxa" w:w="396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DATE / TIME</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RFP released (pre-qualified bidders only)</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September 22, 2026</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Mandatory pre-proposal site walk</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October 6, 2026  •  9:00 AM  •  Building 4</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Bidder questions due (Round 1)</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October 13, 2026  •  5:00 PM</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Association responses (Round 1)</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October 16, 2026</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Bidder questions due (Round 2)</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October 27, 2026  •  5:00 PM</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Association responses (Round 2)</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October 30, 2026</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Proposals due (sealed)</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November 13, 2026  •  5:00 PM</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Evaluation period</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November 16 – December 4, 2026</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Shortlist notification</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December 7, 2026</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Vendor presentations &amp; follow-up</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December 14 – 16, 2026</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Best and Final Offer (BAFO) due</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December 22, 2026</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Notice of Intent to Award</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January 12, 2027</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Contract negotiation period</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January 13 – February 6, 2027</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Contract execution &amp; mobilization</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February 23, 2027</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Project start</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March 1, 2027</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Substantial Completion (target)</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June 15, 2027</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Final Completion (target)</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July 15, 2027</w:t>
            </w:r>
          </w:p>
        </w:tc>
      </w:tr>
    </w:tbl>
    <w:p>
      <w:r>
        <w:br w:type="page"/>
      </w:r>
    </w:p>
    <w:p>
      <w:pPr>
        <w:spacing w:after="60" w:before="0"/>
      </w:pPr>
      <w:r>
        <w:rPr>
          <w:rFonts w:ascii="Lato" w:cs="Lato" w:eastAsia="Lato" w:hAnsi="Lato"/>
          <w:b/>
          <w:bCs/>
          <w:color w:val="C9A24A"/>
          <w:spacing w:val="100"/>
          <w:sz w:val="16"/>
          <w:szCs w:val="16"/>
        </w:rPr>
        <w:t xml:space="preserve">SECTION 4</w:t>
      </w:r>
    </w:p>
    <w:p>
      <w:pPr>
        <w:pStyle w:val="Heading1"/>
        <w:spacing w:after="160" w:before="280"/>
      </w:pPr>
      <w:r>
        <w:rPr>
          <w:rFonts w:ascii="Garamond" w:cs="Garamond" w:eastAsia="Garamond" w:hAnsi="Garamond"/>
          <w:b/>
          <w:bCs/>
          <w:color w:val="173F35"/>
          <w:sz w:val="40"/>
          <w:szCs w:val="40"/>
        </w:rPr>
        <w:t xml:space="preserve">Statement of Work</w:t>
      </w:r>
    </w:p>
    <w:p>
      <w:pPr>
        <w:pBdr>
          <w:bottom w:val="single" w:color="C9A24A" w:sz="8" w:space="1"/>
        </w:pBdr>
        <w:spacing w:after="120" w:before="80"/>
      </w:pPr>
      <w:r>
        <w:t xml:space="preserve"/>
      </w:r>
    </w:p>
    <w:p>
      <w:pPr>
        <w:pStyle w:val="Heading3"/>
        <w:spacing w:after="160" w:before="280"/>
      </w:pPr>
      <w:r>
        <w:rPr>
          <w:rFonts w:ascii="Garamond" w:cs="Garamond" w:eastAsia="Garamond" w:hAnsi="Garamond"/>
          <w:b/>
          <w:bCs/>
          <w:color w:val="173F35"/>
          <w:sz w:val="26"/>
          <w:szCs w:val="26"/>
        </w:rPr>
        <w:t xml:space="preserve">4.1  Scope of Work</w:t>
      </w:r>
    </w:p>
    <w:p>
      <w:pPr>
        <w:pStyle w:val="ListParagraph"/>
        <w:numPr>
          <w:ilvl w:val="0"/>
          <w:numId w:val="2"/>
        </w:numPr>
        <w:spacing w:after="60" w:before="40" w:line="290"/>
      </w:pPr>
      <w:r>
        <w:rPr>
          <w:rFonts w:ascii="Lato" w:cs="Lato" w:eastAsia="Lato" w:hAnsi="Lato"/>
          <w:color w:val="1A1A1A"/>
          <w:sz w:val="22"/>
          <w:szCs w:val="22"/>
        </w:rPr>
        <w:t xml:space="preserve">Removal and disposal of existing roof assembly: 22,400 sq. ft. asphalt shingle, underlayment, drip edge, valley metal, vent boots, ridge / hip caps, and any deteriorated decking (allowance for replacement of up to 800 sq. ft. of deck included in Base Bid).</w:t>
      </w:r>
    </w:p>
    <w:p>
      <w:pPr>
        <w:pStyle w:val="ListParagraph"/>
        <w:numPr>
          <w:ilvl w:val="0"/>
          <w:numId w:val="2"/>
        </w:numPr>
        <w:spacing w:after="60" w:before="40" w:line="290"/>
      </w:pPr>
      <w:r>
        <w:rPr>
          <w:rFonts w:ascii="Lato" w:cs="Lato" w:eastAsia="Lato" w:hAnsi="Lato"/>
          <w:color w:val="1A1A1A"/>
          <w:sz w:val="22"/>
          <w:szCs w:val="22"/>
        </w:rPr>
        <w:t xml:space="preserve">Installation of new roof assembly meeting or exceeding 2024 IRC / IBC and Texas Department of Insurance hail / wind requirements for Harris County: class 4 impact-resistant asphalt shingles (Owens Corning Duration STORM, GAF Timberline AS II, or approved equal), synthetic underlayment, ice-and-water shield at valleys and penetrations, new 24-gauge step / valley flashing, new vent boots, ridge ventilation, and matching ridge / hip caps.</w:t>
      </w:r>
    </w:p>
    <w:p>
      <w:pPr>
        <w:pStyle w:val="ListParagraph"/>
        <w:numPr>
          <w:ilvl w:val="0"/>
          <w:numId w:val="2"/>
        </w:numPr>
        <w:spacing w:after="60" w:before="40" w:line="290"/>
      </w:pPr>
      <w:r>
        <w:rPr>
          <w:rFonts w:ascii="Lato" w:cs="Lato" w:eastAsia="Lato" w:hAnsi="Lato"/>
          <w:color w:val="1A1A1A"/>
          <w:sz w:val="22"/>
          <w:szCs w:val="22"/>
        </w:rPr>
        <w:t xml:space="preserve">New 6-inch K-style aluminum gutters and 4-inch downspouts with leaf guards on all slopes draining to common-area parking; coordinate downspout discharge with landscape drainage.</w:t>
      </w:r>
    </w:p>
    <w:p>
      <w:pPr>
        <w:pStyle w:val="ListParagraph"/>
        <w:numPr>
          <w:ilvl w:val="0"/>
          <w:numId w:val="2"/>
        </w:numPr>
        <w:spacing w:after="60" w:before="40" w:line="290"/>
      </w:pPr>
      <w:r>
        <w:rPr>
          <w:rFonts w:ascii="Lato" w:cs="Lato" w:eastAsia="Lato" w:hAnsi="Lato"/>
          <w:color w:val="1A1A1A"/>
          <w:sz w:val="22"/>
          <w:szCs w:val="22"/>
        </w:rPr>
        <w:t xml:space="preserve">Replacement of fascia and soffit damage (allowance included in Base Bid).</w:t>
      </w:r>
    </w:p>
    <w:p>
      <w:pPr>
        <w:pStyle w:val="ListParagraph"/>
        <w:numPr>
          <w:ilvl w:val="0"/>
          <w:numId w:val="2"/>
        </w:numPr>
        <w:spacing w:after="60" w:before="40" w:line="290"/>
      </w:pPr>
      <w:r>
        <w:rPr>
          <w:rFonts w:ascii="Lato" w:cs="Lato" w:eastAsia="Lato" w:hAnsi="Lato"/>
          <w:color w:val="1A1A1A"/>
          <w:sz w:val="22"/>
          <w:szCs w:val="22"/>
        </w:rPr>
        <w:t xml:space="preserve">Roof manufacturer SureNail / Golden Pledge / equivalent system warranty enrolled in the Association’s name; minimum non-prorated coverage period of 20 years for materials and 10 years for workmanship by Vendor.</w:t>
      </w:r>
    </w:p>
    <w:p>
      <w:pPr>
        <w:pStyle w:val="ListParagraph"/>
        <w:numPr>
          <w:ilvl w:val="0"/>
          <w:numId w:val="2"/>
        </w:numPr>
        <w:spacing w:after="60" w:before="40" w:line="290"/>
      </w:pPr>
      <w:r>
        <w:rPr>
          <w:rFonts w:ascii="Lato" w:cs="Lato" w:eastAsia="Lato" w:hAnsi="Lato"/>
          <w:color w:val="1A1A1A"/>
          <w:sz w:val="22"/>
          <w:szCs w:val="22"/>
        </w:rPr>
        <w:t xml:space="preserve">As-built documentation and photographic record of completed assembly delivered at Substantial Completion.</w:t>
      </w:r>
    </w:p>
    <w:p>
      <w:pPr>
        <w:pStyle w:val="ListParagraph"/>
        <w:numPr>
          <w:ilvl w:val="0"/>
          <w:numId w:val="2"/>
        </w:numPr>
        <w:spacing w:after="60" w:before="40" w:line="290"/>
      </w:pPr>
      <w:r>
        <w:rPr>
          <w:rFonts w:ascii="Lato" w:cs="Lato" w:eastAsia="Lato" w:hAnsi="Lato"/>
          <w:color w:val="1A1A1A"/>
          <w:sz w:val="22"/>
          <w:szCs w:val="22"/>
        </w:rPr>
        <w:t xml:space="preserve">Daily site cleanup; weekly project meetings with Manager and Strickland Engineering (Owner’s Representative); coordination with neighboring properties; minimal disruption to clubhouse operations.</w:t>
      </w:r>
    </w:p>
    <w:p>
      <w:pPr>
        <w:pStyle w:val="Heading3"/>
        <w:spacing w:after="160" w:before="280"/>
      </w:pPr>
      <w:r>
        <w:rPr>
          <w:rFonts w:ascii="Garamond" w:cs="Garamond" w:eastAsia="Garamond" w:hAnsi="Garamond"/>
          <w:b/>
          <w:bCs/>
          <w:color w:val="173F35"/>
          <w:sz w:val="26"/>
          <w:szCs w:val="26"/>
        </w:rPr>
        <w:t xml:space="preserve">4.2  Acceptance Criteria</w:t>
      </w:r>
    </w:p>
    <w:p>
      <w:pPr>
        <w:pStyle w:val="ListParagraph"/>
        <w:numPr>
          <w:ilvl w:val="0"/>
          <w:numId w:val="2"/>
        </w:numPr>
        <w:spacing w:after="60" w:before="40" w:line="290"/>
      </w:pPr>
      <w:r>
        <w:rPr>
          <w:rFonts w:ascii="Lato" w:cs="Lato" w:eastAsia="Lato" w:hAnsi="Lato"/>
          <w:color w:val="1A1A1A"/>
          <w:sz w:val="22"/>
          <w:szCs w:val="22"/>
        </w:rPr>
        <w:t xml:space="preserve">All work conforms to manufacturer’s installation specifications and shingle warranty enrollment requirements.</w:t>
      </w:r>
    </w:p>
    <w:p>
      <w:pPr>
        <w:pStyle w:val="ListParagraph"/>
        <w:numPr>
          <w:ilvl w:val="0"/>
          <w:numId w:val="2"/>
        </w:numPr>
        <w:spacing w:after="60" w:before="40" w:line="290"/>
      </w:pPr>
      <w:r>
        <w:rPr>
          <w:rFonts w:ascii="Lato" w:cs="Lato" w:eastAsia="Lato" w:hAnsi="Lato"/>
          <w:color w:val="1A1A1A"/>
          <w:sz w:val="22"/>
          <w:szCs w:val="22"/>
        </w:rPr>
        <w:t xml:space="preserve">Third-party infrared moisture survey by Strickland Engineering at Substantial Completion confirms no moisture intrusion.</w:t>
      </w:r>
    </w:p>
    <w:p>
      <w:pPr>
        <w:pStyle w:val="ListParagraph"/>
        <w:numPr>
          <w:ilvl w:val="0"/>
          <w:numId w:val="2"/>
        </w:numPr>
        <w:spacing w:after="60" w:before="40" w:line="290"/>
      </w:pPr>
      <w:r>
        <w:rPr>
          <w:rFonts w:ascii="Lato" w:cs="Lato" w:eastAsia="Lato" w:hAnsi="Lato"/>
          <w:color w:val="1A1A1A"/>
          <w:sz w:val="22"/>
          <w:szCs w:val="22"/>
        </w:rPr>
        <w:t xml:space="preserve">Punch list cleared within 30 days of Substantial Completion.</w:t>
      </w:r>
    </w:p>
    <w:p>
      <w:pPr>
        <w:pStyle w:val="ListParagraph"/>
        <w:numPr>
          <w:ilvl w:val="0"/>
          <w:numId w:val="2"/>
        </w:numPr>
        <w:spacing w:after="60" w:before="40" w:line="290"/>
      </w:pPr>
      <w:r>
        <w:rPr>
          <w:rFonts w:ascii="Lato" w:cs="Lato" w:eastAsia="Lato" w:hAnsi="Lato"/>
          <w:color w:val="1A1A1A"/>
          <w:sz w:val="22"/>
          <w:szCs w:val="22"/>
        </w:rPr>
        <w:t xml:space="preserve">Manufacturer system warranty registered and delivered to Manager.</w:t>
      </w:r>
    </w:p>
    <w:p>
      <w:pPr>
        <w:pStyle w:val="ListParagraph"/>
        <w:numPr>
          <w:ilvl w:val="0"/>
          <w:numId w:val="2"/>
        </w:numPr>
        <w:spacing w:after="60" w:before="40" w:line="290"/>
      </w:pPr>
      <w:r>
        <w:rPr>
          <w:rFonts w:ascii="Lato" w:cs="Lato" w:eastAsia="Lato" w:hAnsi="Lato"/>
          <w:color w:val="1A1A1A"/>
          <w:sz w:val="22"/>
          <w:szCs w:val="22"/>
        </w:rPr>
        <w:t xml:space="preserve">Unconditional final lien waivers from Vendor and all subcontractors / suppliers received.</w:t>
      </w:r>
    </w:p>
    <w:p>
      <w:pPr>
        <w:pStyle w:val="Heading3"/>
        <w:spacing w:after="160" w:before="280"/>
      </w:pPr>
      <w:r>
        <w:rPr>
          <w:rFonts w:ascii="Garamond" w:cs="Garamond" w:eastAsia="Garamond" w:hAnsi="Garamond"/>
          <w:b/>
          <w:bCs/>
          <w:color w:val="173F35"/>
          <w:sz w:val="26"/>
          <w:szCs w:val="26"/>
        </w:rPr>
        <w:t xml:space="preserve">4.3  Exclusions</w:t>
      </w:r>
    </w:p>
    <w:p>
      <w:pPr>
        <w:pStyle w:val="ListParagraph"/>
        <w:numPr>
          <w:ilvl w:val="0"/>
          <w:numId w:val="2"/>
        </w:numPr>
        <w:spacing w:after="60" w:before="40" w:line="290"/>
      </w:pPr>
      <w:r>
        <w:rPr>
          <w:rFonts w:ascii="Lato" w:cs="Lato" w:eastAsia="Lato" w:hAnsi="Lato"/>
          <w:color w:val="1A1A1A"/>
          <w:sz w:val="22"/>
          <w:szCs w:val="22"/>
        </w:rPr>
        <w:t xml:space="preserve">Mechanical (HVAC) rooftop equipment removal / replacement — separate scope.</w:t>
      </w:r>
    </w:p>
    <w:p>
      <w:pPr>
        <w:pStyle w:val="ListParagraph"/>
        <w:numPr>
          <w:ilvl w:val="0"/>
          <w:numId w:val="2"/>
        </w:numPr>
        <w:spacing w:after="60" w:before="40" w:line="290"/>
      </w:pPr>
      <w:r>
        <w:rPr>
          <w:rFonts w:ascii="Lato" w:cs="Lato" w:eastAsia="Lato" w:hAnsi="Lato"/>
          <w:color w:val="1A1A1A"/>
          <w:sz w:val="22"/>
          <w:szCs w:val="22"/>
        </w:rPr>
        <w:t xml:space="preserve">Skylight replacement (existing skylights to be flashed in only).</w:t>
      </w:r>
    </w:p>
    <w:p>
      <w:pPr>
        <w:pStyle w:val="ListParagraph"/>
        <w:numPr>
          <w:ilvl w:val="0"/>
          <w:numId w:val="2"/>
        </w:numPr>
        <w:spacing w:after="60" w:before="40" w:line="290"/>
      </w:pPr>
      <w:r>
        <w:rPr>
          <w:rFonts w:ascii="Lato" w:cs="Lato" w:eastAsia="Lato" w:hAnsi="Lato"/>
          <w:color w:val="1A1A1A"/>
          <w:sz w:val="22"/>
          <w:szCs w:val="22"/>
        </w:rPr>
        <w:t xml:space="preserve">Interior repairs from any pre-existing water damage.</w:t>
      </w:r>
    </w:p>
    <w:p>
      <w:pPr>
        <w:pStyle w:val="ListParagraph"/>
        <w:numPr>
          <w:ilvl w:val="0"/>
          <w:numId w:val="2"/>
        </w:numPr>
        <w:spacing w:after="60" w:before="40" w:line="290"/>
      </w:pPr>
      <w:r>
        <w:rPr>
          <w:rFonts w:ascii="Lato" w:cs="Lato" w:eastAsia="Lato" w:hAnsi="Lato"/>
          <w:color w:val="1A1A1A"/>
          <w:sz w:val="22"/>
          <w:szCs w:val="22"/>
        </w:rPr>
        <w:t xml:space="preserve">Permitting — Vendor obtains permits at the price stated in the Bid Sheet.</w:t>
      </w:r>
    </w:p>
    <w:p>
      <w:pPr>
        <w:pStyle w:val="Heading3"/>
        <w:spacing w:after="160" w:before="280"/>
      </w:pPr>
      <w:r>
        <w:rPr>
          <w:rFonts w:ascii="Garamond" w:cs="Garamond" w:eastAsia="Garamond" w:hAnsi="Garamond"/>
          <w:b/>
          <w:bCs/>
          <w:color w:val="173F35"/>
          <w:sz w:val="26"/>
          <w:szCs w:val="26"/>
        </w:rPr>
        <w:t xml:space="preserve">4.4  Schedule &amp; Liquidated Damages</w:t>
      </w:r>
    </w:p>
    <w:p>
      <w:pPr>
        <w:pStyle w:val="ListParagraph"/>
        <w:numPr>
          <w:ilvl w:val="0"/>
          <w:numId w:val="2"/>
        </w:numPr>
        <w:spacing w:after="60" w:before="40" w:line="290"/>
      </w:pPr>
      <w:r>
        <w:rPr>
          <w:rFonts w:ascii="Lato" w:cs="Lato" w:eastAsia="Lato" w:hAnsi="Lato"/>
          <w:b/>
          <w:bCs/>
          <w:color w:val="173F35"/>
          <w:sz w:val="22"/>
          <w:szCs w:val="22"/>
        </w:rPr>
        <w:t xml:space="preserve">Substantial Completion Date — June 15, 2027.</w:t>
      </w:r>
    </w:p>
    <w:p>
      <w:pPr>
        <w:pStyle w:val="ListParagraph"/>
        <w:numPr>
          <w:ilvl w:val="0"/>
          <w:numId w:val="2"/>
        </w:numPr>
        <w:spacing w:after="60" w:before="40" w:line="290"/>
      </w:pPr>
      <w:r>
        <w:rPr>
          <w:rFonts w:ascii="Lato" w:cs="Lato" w:eastAsia="Lato" w:hAnsi="Lato"/>
          <w:b/>
          <w:bCs/>
          <w:color w:val="173F35"/>
          <w:sz w:val="22"/>
          <w:szCs w:val="22"/>
        </w:rPr>
        <w:t xml:space="preserve">Final Completion Date — July 15, 2027.</w:t>
      </w:r>
    </w:p>
    <w:p>
      <w:pPr>
        <w:pStyle w:val="ListParagraph"/>
        <w:numPr>
          <w:ilvl w:val="0"/>
          <w:numId w:val="2"/>
        </w:numPr>
        <w:spacing w:after="60" w:before="40" w:line="290"/>
      </w:pPr>
      <w:r>
        <w:rPr>
          <w:rFonts w:ascii="Lato" w:cs="Lato" w:eastAsia="Lato" w:hAnsi="Lato"/>
          <w:color w:val="1A1A1A"/>
          <w:sz w:val="22"/>
          <w:szCs w:val="22"/>
        </w:rPr>
        <w:t xml:space="preserve">Liquidated Damages — $750 per calendar day after Substantial Completion Date, reasonable in relation to actual anticipated damages (loss of clubhouse availability during high-demand summer season). Capped at $25,000 aggregate.</w:t>
      </w:r>
    </w:p>
    <w:p>
      <w:r>
        <w:br w:type="page"/>
      </w:r>
    </w:p>
    <w:p>
      <w:pPr>
        <w:spacing w:after="60" w:before="0"/>
      </w:pPr>
      <w:r>
        <w:rPr>
          <w:rFonts w:ascii="Lato" w:cs="Lato" w:eastAsia="Lato" w:hAnsi="Lato"/>
          <w:b/>
          <w:bCs/>
          <w:color w:val="C9A24A"/>
          <w:spacing w:val="100"/>
          <w:sz w:val="16"/>
          <w:szCs w:val="16"/>
        </w:rPr>
        <w:t xml:space="preserve">SECTION 5</w:t>
      </w:r>
    </w:p>
    <w:p>
      <w:pPr>
        <w:pStyle w:val="Heading1"/>
        <w:spacing w:after="160" w:before="280"/>
      </w:pPr>
      <w:r>
        <w:rPr>
          <w:rFonts w:ascii="Garamond" w:cs="Garamond" w:eastAsia="Garamond" w:hAnsi="Garamond"/>
          <w:b/>
          <w:bCs/>
          <w:color w:val="173F35"/>
          <w:sz w:val="40"/>
          <w:szCs w:val="40"/>
        </w:rPr>
        <w:t xml:space="preserve">Instructions to Proposers</w:t>
      </w:r>
    </w:p>
    <w:p>
      <w:pPr>
        <w:pBdr>
          <w:bottom w:val="single" w:color="C9A24A" w:sz="8" w:space="1"/>
        </w:pBdr>
        <w:spacing w:after="120" w:before="80"/>
      </w:pPr>
      <w:r>
        <w:t xml:space="preserve"/>
      </w:r>
    </w:p>
    <w:p>
      <w:pPr>
        <w:pStyle w:val="Heading3"/>
        <w:spacing w:after="160" w:before="280"/>
      </w:pPr>
      <w:r>
        <w:rPr>
          <w:rFonts w:ascii="Garamond" w:cs="Garamond" w:eastAsia="Garamond" w:hAnsi="Garamond"/>
          <w:b/>
          <w:bCs/>
          <w:color w:val="173F35"/>
          <w:sz w:val="26"/>
          <w:szCs w:val="26"/>
        </w:rPr>
        <w:t xml:space="preserve">5.1  Pre-qualification</w:t>
      </w:r>
    </w:p>
    <w:p>
      <w:pPr>
        <w:spacing w:after="160" w:before="0" w:line="320"/>
        <w:jc w:val="left"/>
      </w:pPr>
      <w:r>
        <w:rPr>
          <w:rFonts w:ascii="Lato" w:cs="Lato" w:eastAsia="Lato" w:hAnsi="Lato"/>
          <w:color w:val="1A1A1A"/>
          <w:sz w:val="22"/>
          <w:szCs w:val="22"/>
        </w:rPr>
        <w:t xml:space="preserve">This RFP is issued only to bidders who completed pre-qualification by August 28, 2026. Six (6) Texas-licensed roofing contractors were pre-qualified for this RFP based on financial strength, bonding capacity, OSHA EMR, similar-scope references, and Texas Department of Insurance Designated Hail / Wind contractor status.</w:t>
      </w:r>
    </w:p>
    <w:p>
      <w:pPr>
        <w:pStyle w:val="Heading3"/>
        <w:spacing w:after="160" w:before="280"/>
      </w:pPr>
      <w:r>
        <w:rPr>
          <w:rFonts w:ascii="Garamond" w:cs="Garamond" w:eastAsia="Garamond" w:hAnsi="Garamond"/>
          <w:b/>
          <w:bCs/>
          <w:color w:val="173F35"/>
          <w:sz w:val="26"/>
          <w:szCs w:val="26"/>
        </w:rPr>
        <w:t xml:space="preserve">5.2  Submission Method</w:t>
      </w:r>
    </w:p>
    <w:p>
      <w:pPr>
        <w:spacing w:after="160" w:before="0" w:line="320"/>
        <w:jc w:val="left"/>
      </w:pPr>
      <w:r>
        <w:rPr>
          <w:rFonts w:ascii="Lato" w:cs="Lato" w:eastAsia="Lato" w:hAnsi="Lato"/>
          <w:color w:val="1A1A1A"/>
          <w:sz w:val="22"/>
          <w:szCs w:val="22"/>
        </w:rPr>
        <w:t xml:space="preserve">Sealed proposals shall be submitted via email to rfp@cypressridge-ca.example with the subject line “2026-09-ROOFING — [Vendor Name]”, AND a printed counterpart delivered to the management office at 27500 Cypress Ridge Parkway, Cypress, Texas 77433, no later than November 13, 2026, 5:00 PM Local Time.</w:t>
      </w:r>
    </w:p>
    <w:p>
      <w:pPr>
        <w:pStyle w:val="Heading3"/>
        <w:spacing w:after="160" w:before="280"/>
      </w:pPr>
      <w:r>
        <w:rPr>
          <w:rFonts w:ascii="Garamond" w:cs="Garamond" w:eastAsia="Garamond" w:hAnsi="Garamond"/>
          <w:b/>
          <w:bCs/>
          <w:color w:val="173F35"/>
          <w:sz w:val="26"/>
          <w:szCs w:val="26"/>
        </w:rPr>
        <w:t xml:space="preserve">5.3  Mandatory Pre-Proposal Site Walk</w:t>
      </w:r>
    </w:p>
    <w:p>
      <w:pPr>
        <w:spacing w:after="160" w:before="0" w:line="320"/>
        <w:jc w:val="left"/>
      </w:pPr>
      <w:r>
        <w:rPr>
          <w:rFonts w:ascii="Lato" w:cs="Lato" w:eastAsia="Lato" w:hAnsi="Lato"/>
          <w:color w:val="1A1A1A"/>
          <w:sz w:val="22"/>
          <w:szCs w:val="22"/>
        </w:rPr>
        <w:t xml:space="preserve">A mandatory site walk will be held October 6, 2026, at 9:00 AM at Building 4. Up to three (3) representatives per bidder may attend. Bidders shall register attendees by email no later than October 2, 2026, 5:00 PM. Failure to attend the site walk disqualifies a proposal.</w:t>
      </w:r>
    </w:p>
    <w:p>
      <w:pPr>
        <w:pStyle w:val="Heading3"/>
        <w:spacing w:after="160" w:before="280"/>
      </w:pPr>
      <w:r>
        <w:rPr>
          <w:rFonts w:ascii="Garamond" w:cs="Garamond" w:eastAsia="Garamond" w:hAnsi="Garamond"/>
          <w:b/>
          <w:bCs/>
          <w:color w:val="173F35"/>
          <w:sz w:val="26"/>
          <w:szCs w:val="26"/>
        </w:rPr>
        <w:t xml:space="preserve">5.4  Required Submittals</w:t>
      </w:r>
    </w:p>
    <w:p>
      <w:pPr>
        <w:pStyle w:val="ListParagraph"/>
        <w:numPr>
          <w:ilvl w:val="0"/>
          <w:numId w:val="3"/>
        </w:numPr>
        <w:spacing w:after="100" w:before="60" w:line="300"/>
      </w:pPr>
      <w:r>
        <w:rPr>
          <w:rFonts w:ascii="Lato" w:cs="Lato" w:eastAsia="Lato" w:hAnsi="Lato"/>
          <w:color w:val="1A1A1A"/>
          <w:sz w:val="22"/>
          <w:szCs w:val="22"/>
        </w:rPr>
        <w:t xml:space="preserve">Executive Summary (not more than 2 pages).</w:t>
      </w:r>
    </w:p>
    <w:p>
      <w:pPr>
        <w:pStyle w:val="ListParagraph"/>
        <w:numPr>
          <w:ilvl w:val="0"/>
          <w:numId w:val="3"/>
        </w:numPr>
        <w:spacing w:after="100" w:before="60" w:line="300"/>
      </w:pPr>
      <w:r>
        <w:rPr>
          <w:rFonts w:ascii="Lato" w:cs="Lato" w:eastAsia="Lato" w:hAnsi="Lato"/>
          <w:color w:val="1A1A1A"/>
          <w:sz w:val="22"/>
          <w:szCs w:val="22"/>
        </w:rPr>
        <w:t xml:space="preserve">Vendor Information Form (Section 8).</w:t>
      </w:r>
    </w:p>
    <w:p>
      <w:pPr>
        <w:pStyle w:val="ListParagraph"/>
        <w:numPr>
          <w:ilvl w:val="0"/>
          <w:numId w:val="3"/>
        </w:numPr>
        <w:spacing w:after="100" w:before="60" w:line="300"/>
      </w:pPr>
      <w:r>
        <w:rPr>
          <w:rFonts w:ascii="Lato" w:cs="Lato" w:eastAsia="Lato" w:hAnsi="Lato"/>
          <w:color w:val="1A1A1A"/>
          <w:sz w:val="22"/>
          <w:szCs w:val="22"/>
        </w:rPr>
        <w:t xml:space="preserve">Five (5) Past Performance References for similar capital roofing projects completed in the last five (5) years, value $500K and above (Section 9).</w:t>
      </w:r>
    </w:p>
    <w:p>
      <w:pPr>
        <w:pStyle w:val="ListParagraph"/>
        <w:numPr>
          <w:ilvl w:val="0"/>
          <w:numId w:val="3"/>
        </w:numPr>
        <w:spacing w:after="100" w:before="60" w:line="300"/>
      </w:pPr>
      <w:r>
        <w:rPr>
          <w:rFonts w:ascii="Lato" w:cs="Lato" w:eastAsia="Lato" w:hAnsi="Lato"/>
          <w:color w:val="1A1A1A"/>
          <w:sz w:val="22"/>
          <w:szCs w:val="22"/>
        </w:rPr>
        <w:t xml:space="preserve">Certificate of Insurance (Section 10) and Bonding Capacity Letter from surety rated A- or better by A.M. Best (Section 11).</w:t>
      </w:r>
    </w:p>
    <w:p>
      <w:pPr>
        <w:pStyle w:val="ListParagraph"/>
        <w:numPr>
          <w:ilvl w:val="0"/>
          <w:numId w:val="3"/>
        </w:numPr>
        <w:spacing w:after="100" w:before="60" w:line="300"/>
      </w:pPr>
      <w:r>
        <w:rPr>
          <w:rFonts w:ascii="Lato" w:cs="Lato" w:eastAsia="Lato" w:hAnsi="Lato"/>
          <w:color w:val="1A1A1A"/>
          <w:sz w:val="22"/>
          <w:szCs w:val="22"/>
        </w:rPr>
        <w:t xml:space="preserve">Key personnel biographies — project manager, on-site superintendent.</w:t>
      </w:r>
    </w:p>
    <w:p>
      <w:pPr>
        <w:pStyle w:val="ListParagraph"/>
        <w:numPr>
          <w:ilvl w:val="0"/>
          <w:numId w:val="3"/>
        </w:numPr>
        <w:spacing w:after="100" w:before="60" w:line="300"/>
      </w:pPr>
      <w:r>
        <w:rPr>
          <w:rFonts w:ascii="Lato" w:cs="Lato" w:eastAsia="Lato" w:hAnsi="Lato"/>
          <w:color w:val="1A1A1A"/>
          <w:sz w:val="22"/>
          <w:szCs w:val="22"/>
        </w:rPr>
        <w:t xml:space="preserve">Project schedule (Gantt chart) showing phasing, milestones, and float anchored to Section 3 dates.</w:t>
      </w:r>
    </w:p>
    <w:p>
      <w:pPr>
        <w:pStyle w:val="ListParagraph"/>
        <w:numPr>
          <w:ilvl w:val="0"/>
          <w:numId w:val="3"/>
        </w:numPr>
        <w:spacing w:after="100" w:before="60" w:line="300"/>
      </w:pPr>
      <w:r>
        <w:rPr>
          <w:rFonts w:ascii="Lato" w:cs="Lato" w:eastAsia="Lato" w:hAnsi="Lato"/>
          <w:color w:val="1A1A1A"/>
          <w:sz w:val="22"/>
          <w:szCs w:val="22"/>
        </w:rPr>
        <w:t xml:space="preserve">Quality assurance plan, safety plan (OSHA EMR included), and site logistics plan.</w:t>
      </w:r>
    </w:p>
    <w:p>
      <w:pPr>
        <w:pStyle w:val="ListParagraph"/>
        <w:numPr>
          <w:ilvl w:val="0"/>
          <w:numId w:val="3"/>
        </w:numPr>
        <w:spacing w:after="100" w:before="60" w:line="300"/>
      </w:pPr>
      <w:r>
        <w:rPr>
          <w:rFonts w:ascii="Lato" w:cs="Lato" w:eastAsia="Lato" w:hAnsi="Lato"/>
          <w:color w:val="1A1A1A"/>
          <w:sz w:val="22"/>
          <w:szCs w:val="22"/>
        </w:rPr>
        <w:t xml:space="preserve">Bid Sheet (Section 13) — line-item pricing, allowances, alternates.</w:t>
      </w:r>
    </w:p>
    <w:p>
      <w:pPr>
        <w:pStyle w:val="ListParagraph"/>
        <w:numPr>
          <w:ilvl w:val="0"/>
          <w:numId w:val="3"/>
        </w:numPr>
        <w:spacing w:after="100" w:before="60" w:line="300"/>
      </w:pPr>
      <w:r>
        <w:rPr>
          <w:rFonts w:ascii="Lato" w:cs="Lato" w:eastAsia="Lato" w:hAnsi="Lato"/>
          <w:color w:val="1A1A1A"/>
          <w:sz w:val="22"/>
          <w:szCs w:val="22"/>
        </w:rPr>
        <w:t xml:space="preserve">Bid Authorization &amp; Affidavit (Section 14).</w:t>
      </w:r>
    </w:p>
    <w:p>
      <w:pPr>
        <w:pStyle w:val="ListParagraph"/>
        <w:numPr>
          <w:ilvl w:val="0"/>
          <w:numId w:val="3"/>
        </w:numPr>
        <w:spacing w:after="100" w:before="60" w:line="300"/>
      </w:pPr>
      <w:r>
        <w:rPr>
          <w:rFonts w:ascii="Lato" w:cs="Lato" w:eastAsia="Lato" w:hAnsi="Lato"/>
          <w:color w:val="1A1A1A"/>
          <w:sz w:val="22"/>
          <w:szCs w:val="22"/>
        </w:rPr>
        <w:t xml:space="preserve">Management Approach narrative (not more than 15 pages).</w:t>
      </w:r>
    </w:p>
    <w:p>
      <w:pPr>
        <w:pStyle w:val="ListParagraph"/>
        <w:numPr>
          <w:ilvl w:val="0"/>
          <w:numId w:val="3"/>
        </w:numPr>
        <w:spacing w:after="100" w:before="60" w:line="300"/>
      </w:pPr>
      <w:r>
        <w:rPr>
          <w:rFonts w:ascii="Lato" w:cs="Lato" w:eastAsia="Lato" w:hAnsi="Lato"/>
          <w:color w:val="1A1A1A"/>
          <w:sz w:val="22"/>
          <w:szCs w:val="22"/>
        </w:rPr>
        <w:t xml:space="preserve">Texas Department of Insurance Designated Hail / Wind contractor certificate.</w:t>
      </w:r>
    </w:p>
    <w:p>
      <w:pPr>
        <w:pStyle w:val="ListParagraph"/>
        <w:numPr>
          <w:ilvl w:val="0"/>
          <w:numId w:val="3"/>
        </w:numPr>
        <w:spacing w:after="100" w:before="60" w:line="300"/>
      </w:pPr>
      <w:r>
        <w:rPr>
          <w:rFonts w:ascii="Lato" w:cs="Lato" w:eastAsia="Lato" w:hAnsi="Lato"/>
          <w:color w:val="1A1A1A"/>
          <w:sz w:val="22"/>
          <w:szCs w:val="22"/>
        </w:rPr>
        <w:t xml:space="preserve">Manufacturer system warranty samples (Owens Corning, GAF, or approved equal).</w:t>
      </w:r>
    </w:p>
    <w:p>
      <w:r>
        <w:br w:type="page"/>
      </w:r>
    </w:p>
    <w:p>
      <w:pPr>
        <w:spacing w:after="60" w:before="0"/>
      </w:pPr>
      <w:r>
        <w:rPr>
          <w:rFonts w:ascii="Lato" w:cs="Lato" w:eastAsia="Lato" w:hAnsi="Lato"/>
          <w:b/>
          <w:bCs/>
          <w:color w:val="C9A24A"/>
          <w:spacing w:val="100"/>
          <w:sz w:val="16"/>
          <w:szCs w:val="16"/>
        </w:rPr>
        <w:t xml:space="preserve">SECTION 6</w:t>
      </w:r>
    </w:p>
    <w:p>
      <w:pPr>
        <w:pStyle w:val="Heading1"/>
        <w:spacing w:after="160" w:before="280"/>
      </w:pPr>
      <w:r>
        <w:rPr>
          <w:rFonts w:ascii="Garamond" w:cs="Garamond" w:eastAsia="Garamond" w:hAnsi="Garamond"/>
          <w:b/>
          <w:bCs/>
          <w:color w:val="173F35"/>
          <w:sz w:val="40"/>
          <w:szCs w:val="40"/>
        </w:rPr>
        <w:t xml:space="preserve">Evaluation of Proposals</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Proposals will be evaluated by the Capital Committee and the Board using the CIC-SC Comparative Proposal Evaluation Worksheet with Tier 3–4 weights. Top three bidders by written-proposal score will be invited to present to the Board on December 14–16, 2026. Best and Final Offers requested on a uniform basis after presentations.</w:t>
      </w:r>
    </w:p>
    <w:p>
      <w:pPr>
        <w:spacing w:after="200" w:before="0" w:line="320"/>
        <w:jc w:val="left"/>
      </w:pPr>
      <w:r>
        <w:rPr>
          <w:rFonts w:ascii="Lato" w:cs="Lato" w:eastAsia="Lato" w:hAnsi="Lato"/>
          <w:color w:val="1A1A1A"/>
          <w:sz w:val="22"/>
          <w:szCs w:val="22"/>
        </w:rPr>
        <w:t xml:space="preserve">Award standard: lowest-priced, technically acceptable bidder, with departures from that rule documented in the Award Recommendation Memo if any.</w:t>
      </w:r>
    </w:p>
    <w:p>
      <w:r>
        <w:br w:type="page"/>
      </w:r>
    </w:p>
    <w:p>
      <w:pPr>
        <w:spacing w:after="60" w:before="0"/>
      </w:pPr>
      <w:r>
        <w:rPr>
          <w:rFonts w:ascii="Lato" w:cs="Lato" w:eastAsia="Lato" w:hAnsi="Lato"/>
          <w:b/>
          <w:bCs/>
          <w:color w:val="C9A24A"/>
          <w:spacing w:val="100"/>
          <w:sz w:val="16"/>
          <w:szCs w:val="16"/>
        </w:rPr>
        <w:t xml:space="preserve">SECTION 7</w:t>
      </w:r>
    </w:p>
    <w:p>
      <w:pPr>
        <w:pStyle w:val="Heading1"/>
        <w:spacing w:after="160" w:before="280"/>
      </w:pPr>
      <w:r>
        <w:rPr>
          <w:rFonts w:ascii="Garamond" w:cs="Garamond" w:eastAsia="Garamond" w:hAnsi="Garamond"/>
          <w:b/>
          <w:bCs/>
          <w:color w:val="173F35"/>
          <w:sz w:val="40"/>
          <w:szCs w:val="40"/>
        </w:rPr>
        <w:t xml:space="preserve">Conflicts of Interest</w:t>
      </w:r>
    </w:p>
    <w:p>
      <w:pPr>
        <w:pBdr>
          <w:bottom w:val="single" w:color="C9A24A" w:sz="8" w:space="1"/>
        </w:pBdr>
        <w:spacing w:after="120" w:before="80"/>
      </w:pPr>
      <w:r>
        <w:t xml:space="preserve"/>
      </w:r>
    </w:p>
    <w:p>
      <w:pPr>
        <w:spacing w:after="0" w:before="0" w:line="320"/>
        <w:jc w:val="left"/>
      </w:pPr>
      <w:r>
        <w:rPr>
          <w:rFonts w:ascii="Lato" w:cs="Lato" w:eastAsia="Lato" w:hAnsi="Lato"/>
          <w:color w:val="1A1A1A"/>
          <w:sz w:val="22"/>
          <w:szCs w:val="22"/>
        </w:rPr>
        <w:t xml:space="preserve">Each proposer shall disclose, in its cover letter, any current or prior relationship between the proposer (or any owner, officer, employee, or relative thereof within the third degree of consanguinity or affinity) and any current Director, Officer, Committee Member, or Manager of the Association. Disclosure does not automatically disqualify; it triggers the procedures of the Cypress Ridge Code of Ethics and Tex. Bus. Orgs. Code § 22.230.</w:t>
      </w:r>
    </w:p>
    <w:p>
      <w:r>
        <w:br w:type="page"/>
      </w:r>
    </w:p>
    <w:p>
      <w:pPr>
        <w:spacing w:after="60" w:before="0"/>
      </w:pPr>
      <w:r>
        <w:rPr>
          <w:rFonts w:ascii="Lato" w:cs="Lato" w:eastAsia="Lato" w:hAnsi="Lato"/>
          <w:b/>
          <w:bCs/>
          <w:color w:val="C9A24A"/>
          <w:spacing w:val="100"/>
          <w:sz w:val="16"/>
          <w:szCs w:val="16"/>
        </w:rPr>
        <w:t xml:space="preserve">SECTION 8  /  FORM 1</w:t>
      </w:r>
    </w:p>
    <w:p>
      <w:pPr>
        <w:pStyle w:val="Heading1"/>
        <w:spacing w:after="160" w:before="280"/>
      </w:pPr>
      <w:r>
        <w:rPr>
          <w:rFonts w:ascii="Garamond" w:cs="Garamond" w:eastAsia="Garamond" w:hAnsi="Garamond"/>
          <w:b/>
          <w:bCs/>
          <w:color w:val="173F35"/>
          <w:sz w:val="40"/>
          <w:szCs w:val="40"/>
        </w:rPr>
        <w:t xml:space="preserve">Vendor Information Form</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Legal Company Name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Main Office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Authorized Contact (Name /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 / 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Texas Roofing Contractor License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TDI Designated Hail / Wind Certificate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Year Founded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Years in Commercial Roofing</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No. of Permanent Employees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Last 3 Years Revenue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Largest Single Project Completed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Current Bonding Capacity ($ — single / aggregate)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OSHA EMR (3-year)</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EIN / Federal Tax ID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bl>
    <w:p>
      <w:r>
        <w:br w:type="page"/>
      </w:r>
    </w:p>
    <w:p>
      <w:pPr>
        <w:spacing w:after="60" w:before="0"/>
      </w:pPr>
      <w:r>
        <w:rPr>
          <w:rFonts w:ascii="Lato" w:cs="Lato" w:eastAsia="Lato" w:hAnsi="Lato"/>
          <w:b/>
          <w:bCs/>
          <w:color w:val="C9A24A"/>
          <w:spacing w:val="100"/>
          <w:sz w:val="16"/>
          <w:szCs w:val="16"/>
        </w:rPr>
        <w:t xml:space="preserve">SECTION 9  /  FORM 2</w:t>
      </w:r>
    </w:p>
    <w:p>
      <w:pPr>
        <w:pStyle w:val="Heading1"/>
        <w:spacing w:after="160" w:before="280"/>
      </w:pPr>
      <w:r>
        <w:rPr>
          <w:rFonts w:ascii="Garamond" w:cs="Garamond" w:eastAsia="Garamond" w:hAnsi="Garamond"/>
          <w:b/>
          <w:bCs/>
          <w:color w:val="173F35"/>
          <w:sz w:val="40"/>
          <w:szCs w:val="40"/>
        </w:rPr>
        <w:t xml:space="preserve">Past Performance References (5)</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Provide five (5) references for similar-scope commercial roofing projects completed within the last five (5) years, each valued at $500,000 or more.</w:t>
      </w:r>
    </w:p>
    <w:p>
      <w:pPr>
        <w:spacing w:after="60" w:before="0"/>
      </w:pPr>
      <w:r>
        <w:rPr>
          <w:rFonts w:ascii="Lato" w:cs="Lato" w:eastAsia="Lato" w:hAnsi="Lato"/>
          <w:b/>
          <w:bCs/>
          <w:color w:val="C9A24A"/>
          <w:spacing w:val="100"/>
          <w:sz w:val="16"/>
          <w:szCs w:val="16"/>
        </w:rPr>
        <w:t xml:space="preserve">REFERENCE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Project Name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Reference Contact (Name /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 / 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Scope &amp; Value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Completion Year</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Was project completed on time and on budget?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bl>
    <w:p>
      <w:pPr>
        <w:spacing w:after="8" w:before="8"/>
      </w:pPr>
      <w:r>
        <w:rPr>
          <w:sz w:val="2"/>
          <w:szCs w:val="2"/>
        </w:rPr>
        <w:t xml:space="preserve"/>
      </w:r>
    </w:p>
    <w:p>
      <w:pPr>
        <w:spacing w:after="60" w:before="0"/>
      </w:pPr>
      <w:r>
        <w:rPr>
          <w:rFonts w:ascii="Lato" w:cs="Lato" w:eastAsia="Lato" w:hAnsi="Lato"/>
          <w:b/>
          <w:bCs/>
          <w:color w:val="C9A24A"/>
          <w:spacing w:val="100"/>
          <w:sz w:val="16"/>
          <w:szCs w:val="16"/>
        </w:rPr>
        <w:t xml:space="preserve">REFERENCE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Project Name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Reference Contact (Name /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 / 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Scope &amp; Value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Completion Year</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Was project completed on time and on budget?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bl>
    <w:p>
      <w:pPr>
        <w:spacing w:after="8" w:before="8"/>
      </w:pPr>
      <w:r>
        <w:rPr>
          <w:sz w:val="2"/>
          <w:szCs w:val="2"/>
        </w:rPr>
        <w:t xml:space="preserve"/>
      </w:r>
    </w:p>
    <w:p>
      <w:pPr>
        <w:spacing w:after="60" w:before="0"/>
      </w:pPr>
      <w:r>
        <w:rPr>
          <w:rFonts w:ascii="Lato" w:cs="Lato" w:eastAsia="Lato" w:hAnsi="Lato"/>
          <w:b/>
          <w:bCs/>
          <w:color w:val="C9A24A"/>
          <w:spacing w:val="100"/>
          <w:sz w:val="16"/>
          <w:szCs w:val="16"/>
        </w:rPr>
        <w:t xml:space="preserve">REFERENCE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Project Name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Reference Contact (Name /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 / 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Scope &amp; Value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Completion Year</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Was project completed on time and on budget?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bl>
    <w:p>
      <w:pPr>
        <w:spacing w:after="8" w:before="8"/>
      </w:pPr>
      <w:r>
        <w:rPr>
          <w:sz w:val="2"/>
          <w:szCs w:val="2"/>
        </w:rPr>
        <w:t xml:space="preserve"/>
      </w:r>
    </w:p>
    <w:p>
      <w:pPr>
        <w:spacing w:after="0" w:before="0" w:line="300"/>
        <w:jc w:val="left"/>
      </w:pPr>
      <w:r>
        <w:rPr>
          <w:rFonts w:ascii="Lato" w:cs="Lato" w:eastAsia="Lato" w:hAnsi="Lato"/>
          <w:i/>
          <w:iCs/>
          <w:color w:val="5C5C5C"/>
          <w:sz w:val="22"/>
          <w:szCs w:val="22"/>
        </w:rPr>
        <w:t xml:space="preserve">Additional references (#4–5) on attached sheets.</w:t>
      </w:r>
    </w:p>
    <w:p>
      <w:r>
        <w:br w:type="page"/>
      </w:r>
    </w:p>
    <w:p>
      <w:pPr>
        <w:spacing w:after="60" w:before="0"/>
      </w:pPr>
      <w:r>
        <w:rPr>
          <w:rFonts w:ascii="Lato" w:cs="Lato" w:eastAsia="Lato" w:hAnsi="Lato"/>
          <w:b/>
          <w:bCs/>
          <w:color w:val="C9A24A"/>
          <w:spacing w:val="100"/>
          <w:sz w:val="16"/>
          <w:szCs w:val="16"/>
        </w:rPr>
        <w:t xml:space="preserve">SECTION 10</w:t>
      </w:r>
    </w:p>
    <w:p>
      <w:pPr>
        <w:pStyle w:val="Heading1"/>
        <w:spacing w:after="160" w:before="280"/>
      </w:pPr>
      <w:r>
        <w:rPr>
          <w:rFonts w:ascii="Garamond" w:cs="Garamond" w:eastAsia="Garamond" w:hAnsi="Garamond"/>
          <w:b/>
          <w:bCs/>
          <w:color w:val="173F35"/>
          <w:sz w:val="40"/>
          <w:szCs w:val="40"/>
        </w:rPr>
        <w:t xml:space="preserve">Insurance Requirements</w:t>
      </w:r>
    </w:p>
    <w:p>
      <w:pPr>
        <w:pBdr>
          <w:bottom w:val="single" w:color="C9A24A" w:sz="8" w:space="1"/>
        </w:pBdr>
        <w:spacing w:after="120" w:before="80"/>
      </w:pPr>
      <w:r>
        <w:t xml:space="preserve"/>
      </w:r>
    </w:p>
    <w:p>
      <w:pPr>
        <w:pStyle w:val="ListParagraph"/>
        <w:numPr>
          <w:ilvl w:val="0"/>
          <w:numId w:val="2"/>
        </w:numPr>
        <w:spacing w:after="60" w:before="40" w:line="290"/>
      </w:pPr>
      <w:r>
        <w:rPr>
          <w:rFonts w:ascii="Lato" w:cs="Lato" w:eastAsia="Lato" w:hAnsi="Lato"/>
          <w:b/>
          <w:bCs/>
          <w:color w:val="173F35"/>
          <w:sz w:val="22"/>
          <w:szCs w:val="22"/>
        </w:rPr>
        <w:t xml:space="preserve">Commercial General Liability — </w:t>
      </w:r>
      <w:r>
        <w:rPr>
          <w:rFonts w:ascii="Lato" w:cs="Lato" w:eastAsia="Lato" w:hAnsi="Lato"/>
          <w:color w:val="1A1A1A"/>
          <w:sz w:val="22"/>
          <w:szCs w:val="22"/>
        </w:rPr>
        <w:t xml:space="preserve">minimum $2,000,000 per occurrence and $5,000,000 aggregate. Cypress Ridge Community Association, Cypress Ridge Property Management LLC, and Strickland Engineering named as additional insureds, primary, non-contributory.</w:t>
      </w:r>
    </w:p>
    <w:p>
      <w:pPr>
        <w:pStyle w:val="ListParagraph"/>
        <w:numPr>
          <w:ilvl w:val="0"/>
          <w:numId w:val="2"/>
        </w:numPr>
        <w:spacing w:after="60" w:before="40" w:line="290"/>
      </w:pPr>
      <w:r>
        <w:rPr>
          <w:rFonts w:ascii="Lato" w:cs="Lato" w:eastAsia="Lato" w:hAnsi="Lato"/>
          <w:b/>
          <w:bCs/>
          <w:color w:val="173F35"/>
          <w:sz w:val="22"/>
          <w:szCs w:val="22"/>
        </w:rPr>
        <w:t xml:space="preserve">Commercial Auto Liability — </w:t>
      </w:r>
      <w:r>
        <w:rPr>
          <w:rFonts w:ascii="Lato" w:cs="Lato" w:eastAsia="Lato" w:hAnsi="Lato"/>
          <w:color w:val="1A1A1A"/>
          <w:sz w:val="22"/>
          <w:szCs w:val="22"/>
        </w:rPr>
        <w:t xml:space="preserve">$2,000,000 combined single limit.</w:t>
      </w:r>
    </w:p>
    <w:p>
      <w:pPr>
        <w:pStyle w:val="ListParagraph"/>
        <w:numPr>
          <w:ilvl w:val="0"/>
          <w:numId w:val="2"/>
        </w:numPr>
        <w:spacing w:after="60" w:before="40" w:line="290"/>
      </w:pPr>
      <w:r>
        <w:rPr>
          <w:rFonts w:ascii="Lato" w:cs="Lato" w:eastAsia="Lato" w:hAnsi="Lato"/>
          <w:b/>
          <w:bCs/>
          <w:color w:val="173F35"/>
          <w:sz w:val="22"/>
          <w:szCs w:val="22"/>
        </w:rPr>
        <w:t xml:space="preserve">Workers’ Compensation &amp; Employer’s Liability — </w:t>
      </w:r>
      <w:r>
        <w:rPr>
          <w:rFonts w:ascii="Lato" w:cs="Lato" w:eastAsia="Lato" w:hAnsi="Lato"/>
          <w:color w:val="1A1A1A"/>
          <w:sz w:val="22"/>
          <w:szCs w:val="22"/>
        </w:rPr>
        <w:t xml:space="preserve">statutory; Employer’s Liability $1M / $1M / $1M.</w:t>
      </w:r>
    </w:p>
    <w:p>
      <w:pPr>
        <w:pStyle w:val="ListParagraph"/>
        <w:numPr>
          <w:ilvl w:val="0"/>
          <w:numId w:val="2"/>
        </w:numPr>
        <w:spacing w:after="60" w:before="40" w:line="290"/>
      </w:pPr>
      <w:r>
        <w:rPr>
          <w:rFonts w:ascii="Lato" w:cs="Lato" w:eastAsia="Lato" w:hAnsi="Lato"/>
          <w:b/>
          <w:bCs/>
          <w:color w:val="173F35"/>
          <w:sz w:val="22"/>
          <w:szCs w:val="22"/>
        </w:rPr>
        <w:t xml:space="preserve">Umbrella / Excess Liability — </w:t>
      </w:r>
      <w:r>
        <w:rPr>
          <w:rFonts w:ascii="Lato" w:cs="Lato" w:eastAsia="Lato" w:hAnsi="Lato"/>
          <w:color w:val="1A1A1A"/>
          <w:sz w:val="22"/>
          <w:szCs w:val="22"/>
        </w:rPr>
        <w:t xml:space="preserve">minimum $5,000,000.</w:t>
      </w:r>
    </w:p>
    <w:p>
      <w:pPr>
        <w:pStyle w:val="ListParagraph"/>
        <w:numPr>
          <w:ilvl w:val="0"/>
          <w:numId w:val="2"/>
        </w:numPr>
        <w:spacing w:after="60" w:before="40" w:line="290"/>
      </w:pPr>
      <w:r>
        <w:rPr>
          <w:rFonts w:ascii="Lato" w:cs="Lato" w:eastAsia="Lato" w:hAnsi="Lato"/>
          <w:b/>
          <w:bCs/>
          <w:color w:val="173F35"/>
          <w:sz w:val="22"/>
          <w:szCs w:val="22"/>
        </w:rPr>
        <w:t xml:space="preserve">Builder’s Risk — </w:t>
      </w:r>
      <w:r>
        <w:rPr>
          <w:rFonts w:ascii="Lato" w:cs="Lato" w:eastAsia="Lato" w:hAnsi="Lato"/>
          <w:color w:val="1A1A1A"/>
          <w:sz w:val="22"/>
          <w:szCs w:val="22"/>
        </w:rPr>
        <w:t xml:space="preserve">Vendor will procure all-risk on work in place, $900,000 limit, $25,000 deductible.</w:t>
      </w:r>
    </w:p>
    <w:p>
      <w:pPr>
        <w:pStyle w:val="ListParagraph"/>
        <w:numPr>
          <w:ilvl w:val="0"/>
          <w:numId w:val="2"/>
        </w:numPr>
        <w:spacing w:after="60" w:before="40" w:line="290"/>
      </w:pPr>
      <w:r>
        <w:rPr>
          <w:rFonts w:ascii="Lato" w:cs="Lato" w:eastAsia="Lato" w:hAnsi="Lato"/>
          <w:b/>
          <w:bCs/>
          <w:color w:val="173F35"/>
          <w:sz w:val="22"/>
          <w:szCs w:val="22"/>
        </w:rPr>
        <w:t xml:space="preserve">Completed Operations — </w:t>
      </w:r>
      <w:r>
        <w:rPr>
          <w:rFonts w:ascii="Lato" w:cs="Lato" w:eastAsia="Lato" w:hAnsi="Lato"/>
          <w:color w:val="1A1A1A"/>
          <w:sz w:val="22"/>
          <w:szCs w:val="22"/>
        </w:rPr>
        <w:t xml:space="preserve">maintained for two (2) years after Final Completion.</w:t>
      </w:r>
    </w:p>
    <w:p>
      <w:pPr>
        <w:pStyle w:val="ListParagraph"/>
        <w:numPr>
          <w:ilvl w:val="0"/>
          <w:numId w:val="2"/>
        </w:numPr>
        <w:spacing w:after="60" w:before="40" w:line="290"/>
      </w:pPr>
      <w:r>
        <w:rPr>
          <w:rFonts w:ascii="Lato" w:cs="Lato" w:eastAsia="Lato" w:hAnsi="Lato"/>
          <w:b/>
          <w:bCs/>
          <w:color w:val="173F35"/>
          <w:sz w:val="22"/>
          <w:szCs w:val="22"/>
        </w:rPr>
        <w:t xml:space="preserve">Notice of Cancellation — </w:t>
      </w:r>
      <w:r>
        <w:rPr>
          <w:rFonts w:ascii="Lato" w:cs="Lato" w:eastAsia="Lato" w:hAnsi="Lato"/>
          <w:color w:val="1A1A1A"/>
          <w:sz w:val="22"/>
          <w:szCs w:val="22"/>
        </w:rPr>
        <w:t xml:space="preserve">30 days’ written notice.</w:t>
      </w:r>
    </w:p>
    <w:p>
      <w:r>
        <w:br w:type="page"/>
      </w:r>
    </w:p>
    <w:p>
      <w:pPr>
        <w:spacing w:after="60" w:before="0"/>
      </w:pPr>
      <w:r>
        <w:rPr>
          <w:rFonts w:ascii="Lato" w:cs="Lato" w:eastAsia="Lato" w:hAnsi="Lato"/>
          <w:b/>
          <w:bCs/>
          <w:color w:val="C9A24A"/>
          <w:spacing w:val="100"/>
          <w:sz w:val="16"/>
          <w:szCs w:val="16"/>
        </w:rPr>
        <w:t xml:space="preserve">SECTION 11</w:t>
      </w:r>
    </w:p>
    <w:p>
      <w:pPr>
        <w:pStyle w:val="Heading1"/>
        <w:spacing w:after="160" w:before="280"/>
      </w:pPr>
      <w:r>
        <w:rPr>
          <w:rFonts w:ascii="Garamond" w:cs="Garamond" w:eastAsia="Garamond" w:hAnsi="Garamond"/>
          <w:b/>
          <w:bCs/>
          <w:color w:val="173F35"/>
          <w:sz w:val="40"/>
          <w:szCs w:val="40"/>
        </w:rPr>
        <w:t xml:space="preserve">Bonding Requirements</w:t>
      </w:r>
    </w:p>
    <w:p>
      <w:pPr>
        <w:pBdr>
          <w:bottom w:val="single" w:color="C9A24A" w:sz="8" w:space="1"/>
        </w:pBdr>
        <w:spacing w:after="120" w:before="80"/>
      </w:pPr>
      <w:r>
        <w:t xml:space="preserve"/>
      </w:r>
    </w:p>
    <w:p>
      <w:pPr>
        <w:pStyle w:val="ListParagraph"/>
        <w:numPr>
          <w:ilvl w:val="0"/>
          <w:numId w:val="2"/>
        </w:numPr>
        <w:spacing w:after="60" w:before="40" w:line="290"/>
      </w:pPr>
      <w:r>
        <w:rPr>
          <w:rFonts w:ascii="Lato" w:cs="Lato" w:eastAsia="Lato" w:hAnsi="Lato"/>
          <w:b/>
          <w:bCs/>
          <w:color w:val="173F35"/>
          <w:sz w:val="22"/>
          <w:szCs w:val="22"/>
        </w:rPr>
        <w:t xml:space="preserve">Performance Bond — </w:t>
      </w:r>
      <w:r>
        <w:rPr>
          <w:rFonts w:ascii="Lato" w:cs="Lato" w:eastAsia="Lato" w:hAnsi="Lato"/>
          <w:color w:val="1A1A1A"/>
          <w:sz w:val="22"/>
          <w:szCs w:val="22"/>
        </w:rPr>
        <w:t xml:space="preserve">100% of contract value; in favor of the Association; surety rated A- or better by A.M. Best.</w:t>
      </w:r>
    </w:p>
    <w:p>
      <w:pPr>
        <w:pStyle w:val="ListParagraph"/>
        <w:numPr>
          <w:ilvl w:val="0"/>
          <w:numId w:val="2"/>
        </w:numPr>
        <w:spacing w:after="60" w:before="40" w:line="290"/>
      </w:pPr>
      <w:r>
        <w:rPr>
          <w:rFonts w:ascii="Lato" w:cs="Lato" w:eastAsia="Lato" w:hAnsi="Lato"/>
          <w:b/>
          <w:bCs/>
          <w:color w:val="173F35"/>
          <w:sz w:val="22"/>
          <w:szCs w:val="22"/>
        </w:rPr>
        <w:t xml:space="preserve">Payment Bond — </w:t>
      </w:r>
      <w:r>
        <w:rPr>
          <w:rFonts w:ascii="Lato" w:cs="Lato" w:eastAsia="Lato" w:hAnsi="Lato"/>
          <w:color w:val="1A1A1A"/>
          <w:sz w:val="22"/>
          <w:szCs w:val="22"/>
        </w:rPr>
        <w:t xml:space="preserve">100% of contract value; in favor of subcontractors and suppliers; same surety rating standard.</w:t>
      </w:r>
    </w:p>
    <w:p>
      <w:pPr>
        <w:pStyle w:val="ListParagraph"/>
        <w:numPr>
          <w:ilvl w:val="0"/>
          <w:numId w:val="2"/>
        </w:numPr>
        <w:spacing w:after="60" w:before="40" w:line="290"/>
      </w:pPr>
      <w:r>
        <w:rPr>
          <w:rFonts w:ascii="Lato" w:cs="Lato" w:eastAsia="Lato" w:hAnsi="Lato"/>
          <w:b/>
          <w:bCs/>
          <w:color w:val="173F35"/>
          <w:sz w:val="22"/>
          <w:szCs w:val="22"/>
        </w:rPr>
        <w:t xml:space="preserve">Maintenance / Warranty Bond — </w:t>
      </w:r>
      <w:r>
        <w:rPr>
          <w:rFonts w:ascii="Lato" w:cs="Lato" w:eastAsia="Lato" w:hAnsi="Lato"/>
          <w:color w:val="1A1A1A"/>
          <w:sz w:val="22"/>
          <w:szCs w:val="22"/>
        </w:rPr>
        <w:t xml:space="preserve">10% of contract value maintained for the two (2) year Vendor workmanship warranty period.</w:t>
      </w:r>
    </w:p>
    <w:p>
      <w:pPr>
        <w:pStyle w:val="ListParagraph"/>
        <w:numPr>
          <w:ilvl w:val="0"/>
          <w:numId w:val="2"/>
        </w:numPr>
        <w:spacing w:after="60" w:before="40" w:line="290"/>
      </w:pPr>
      <w:r>
        <w:rPr>
          <w:rFonts w:ascii="Lato" w:cs="Lato" w:eastAsia="Lato" w:hAnsi="Lato"/>
          <w:b/>
          <w:bCs/>
          <w:color w:val="173F35"/>
          <w:sz w:val="22"/>
          <w:szCs w:val="22"/>
        </w:rPr>
        <w:t xml:space="preserve">Bonding Capacity Letter — </w:t>
      </w:r>
      <w:r>
        <w:rPr>
          <w:rFonts w:ascii="Lato" w:cs="Lato" w:eastAsia="Lato" w:hAnsi="Lato"/>
          <w:color w:val="1A1A1A"/>
          <w:sz w:val="22"/>
          <w:szCs w:val="22"/>
        </w:rPr>
        <w:t xml:space="preserve">current letter from surety confirming capacity of at least $1,500,000.</w:t>
      </w:r>
    </w:p>
    <w:p>
      <w:pPr>
        <w:pStyle w:val="ListParagraph"/>
        <w:numPr>
          <w:ilvl w:val="0"/>
          <w:numId w:val="2"/>
        </w:numPr>
        <w:spacing w:after="60" w:before="40" w:line="290"/>
      </w:pPr>
      <w:r>
        <w:rPr>
          <w:rFonts w:ascii="Lato" w:cs="Lato" w:eastAsia="Lato" w:hAnsi="Lato"/>
          <w:b/>
          <w:bCs/>
          <w:color w:val="173F35"/>
          <w:sz w:val="22"/>
          <w:szCs w:val="22"/>
        </w:rPr>
        <w:t xml:space="preserve">Bond Cost — </w:t>
      </w:r>
      <w:r>
        <w:rPr>
          <w:rFonts w:ascii="Lato" w:cs="Lato" w:eastAsia="Lato" w:hAnsi="Lato"/>
          <w:color w:val="1A1A1A"/>
          <w:sz w:val="22"/>
          <w:szCs w:val="22"/>
        </w:rPr>
        <w:t xml:space="preserve">included in Base Bid.</w:t>
      </w:r>
    </w:p>
    <w:p>
      <w:r>
        <w:br w:type="page"/>
      </w:r>
    </w:p>
    <w:p>
      <w:pPr>
        <w:spacing w:after="60" w:before="0"/>
      </w:pPr>
      <w:r>
        <w:rPr>
          <w:rFonts w:ascii="Lato" w:cs="Lato" w:eastAsia="Lato" w:hAnsi="Lato"/>
          <w:b/>
          <w:bCs/>
          <w:color w:val="C9A24A"/>
          <w:spacing w:val="100"/>
          <w:sz w:val="16"/>
          <w:szCs w:val="16"/>
        </w:rPr>
        <w:t xml:space="preserve">SECTION 12</w:t>
      </w:r>
    </w:p>
    <w:p>
      <w:pPr>
        <w:pStyle w:val="Heading1"/>
        <w:spacing w:after="160" w:before="280"/>
      </w:pPr>
      <w:r>
        <w:rPr>
          <w:rFonts w:ascii="Garamond" w:cs="Garamond" w:eastAsia="Garamond" w:hAnsi="Garamond"/>
          <w:b/>
          <w:bCs/>
          <w:color w:val="173F35"/>
          <w:sz w:val="40"/>
          <w:szCs w:val="40"/>
        </w:rPr>
        <w:t xml:space="preserve">Contract Terms</w:t>
      </w:r>
    </w:p>
    <w:p>
      <w:pPr>
        <w:pBdr>
          <w:bottom w:val="single" w:color="C9A24A" w:sz="8" w:space="1"/>
        </w:pBdr>
        <w:spacing w:after="120" w:before="80"/>
      </w:pPr>
      <w:r>
        <w:t xml:space="preserve"/>
      </w:r>
    </w:p>
    <w:p>
      <w:pPr>
        <w:pStyle w:val="ListParagraph"/>
        <w:numPr>
          <w:ilvl w:val="0"/>
          <w:numId w:val="2"/>
        </w:numPr>
        <w:spacing w:after="60" w:before="40" w:line="290"/>
      </w:pPr>
      <w:r>
        <w:rPr>
          <w:rFonts w:ascii="Lato" w:cs="Lato" w:eastAsia="Lato" w:hAnsi="Lato"/>
          <w:b/>
          <w:bCs/>
          <w:color w:val="173F35"/>
          <w:sz w:val="22"/>
          <w:szCs w:val="22"/>
        </w:rPr>
        <w:t xml:space="preserve">Form — </w:t>
      </w:r>
      <w:r>
        <w:rPr>
          <w:rFonts w:ascii="Lato" w:cs="Lato" w:eastAsia="Lato" w:hAnsi="Lato"/>
          <w:color w:val="1A1A1A"/>
          <w:sz w:val="22"/>
          <w:szCs w:val="22"/>
        </w:rPr>
        <w:t xml:space="preserve">AIA A101 (Standard Form of Agreement) and A201 (General Conditions) with Cypress Ridge-specific riders drafted by counsel.</w:t>
      </w:r>
    </w:p>
    <w:p>
      <w:pPr>
        <w:pStyle w:val="ListParagraph"/>
        <w:numPr>
          <w:ilvl w:val="0"/>
          <w:numId w:val="2"/>
        </w:numPr>
        <w:spacing w:after="60" w:before="40" w:line="290"/>
      </w:pPr>
      <w:r>
        <w:rPr>
          <w:rFonts w:ascii="Lato" w:cs="Lato" w:eastAsia="Lato" w:hAnsi="Lato"/>
          <w:b/>
          <w:bCs/>
          <w:color w:val="173F35"/>
          <w:sz w:val="22"/>
          <w:szCs w:val="22"/>
        </w:rPr>
        <w:t xml:space="preserve">Pricing &amp; Payment — </w:t>
      </w:r>
      <w:r>
        <w:rPr>
          <w:rFonts w:ascii="Lato" w:cs="Lato" w:eastAsia="Lato" w:hAnsi="Lato"/>
          <w:color w:val="1A1A1A"/>
          <w:sz w:val="22"/>
          <w:szCs w:val="22"/>
        </w:rPr>
        <w:t xml:space="preserve">monthly draws against a schedule of values approved by Owner and Architect; 10% retainage held until Substantial Completion, reduced to 5% after Substantial Completion, final retainage released on receipt of all lien waivers and warranties.</w:t>
      </w:r>
    </w:p>
    <w:p>
      <w:pPr>
        <w:pStyle w:val="ListParagraph"/>
        <w:numPr>
          <w:ilvl w:val="0"/>
          <w:numId w:val="2"/>
        </w:numPr>
        <w:spacing w:after="60" w:before="40" w:line="290"/>
      </w:pPr>
      <w:r>
        <w:rPr>
          <w:rFonts w:ascii="Lato" w:cs="Lato" w:eastAsia="Lato" w:hAnsi="Lato"/>
          <w:b/>
          <w:bCs/>
          <w:color w:val="173F35"/>
          <w:sz w:val="22"/>
          <w:szCs w:val="22"/>
        </w:rPr>
        <w:t xml:space="preserve">Change Orders — </w:t>
      </w:r>
      <w:r>
        <w:rPr>
          <w:rFonts w:ascii="Lato" w:cs="Lato" w:eastAsia="Lato" w:hAnsi="Lato"/>
          <w:color w:val="1A1A1A"/>
          <w:sz w:val="22"/>
          <w:szCs w:val="22"/>
        </w:rPr>
        <w:t xml:space="preserve">Manager may execute change orders up to $10,000 individually and $50,000 aggregate; above either threshold requires Board President signature.</w:t>
      </w:r>
    </w:p>
    <w:p>
      <w:pPr>
        <w:pStyle w:val="ListParagraph"/>
        <w:numPr>
          <w:ilvl w:val="0"/>
          <w:numId w:val="2"/>
        </w:numPr>
        <w:spacing w:after="60" w:before="40" w:line="290"/>
      </w:pPr>
      <w:r>
        <w:rPr>
          <w:rFonts w:ascii="Lato" w:cs="Lato" w:eastAsia="Lato" w:hAnsi="Lato"/>
          <w:b/>
          <w:bCs/>
          <w:color w:val="173F35"/>
          <w:sz w:val="22"/>
          <w:szCs w:val="22"/>
        </w:rPr>
        <w:t xml:space="preserve">Liquidated Damages — </w:t>
      </w:r>
      <w:r>
        <w:rPr>
          <w:rFonts w:ascii="Lato" w:cs="Lato" w:eastAsia="Lato" w:hAnsi="Lato"/>
          <w:color w:val="1A1A1A"/>
          <w:sz w:val="22"/>
          <w:szCs w:val="22"/>
        </w:rPr>
        <w:t xml:space="preserve">$750 per calendar day after Substantial Completion Date, capped at $25,000 aggregate.</w:t>
      </w:r>
    </w:p>
    <w:p>
      <w:pPr>
        <w:pStyle w:val="ListParagraph"/>
        <w:numPr>
          <w:ilvl w:val="0"/>
          <w:numId w:val="2"/>
        </w:numPr>
        <w:spacing w:after="60" w:before="40" w:line="290"/>
      </w:pPr>
      <w:r>
        <w:rPr>
          <w:rFonts w:ascii="Lato" w:cs="Lato" w:eastAsia="Lato" w:hAnsi="Lato"/>
          <w:b/>
          <w:bCs/>
          <w:color w:val="173F35"/>
          <w:sz w:val="22"/>
          <w:szCs w:val="22"/>
        </w:rPr>
        <w:t xml:space="preserve">Lien Waivers — </w:t>
      </w:r>
      <w:r>
        <w:rPr>
          <w:rFonts w:ascii="Lato" w:cs="Lato" w:eastAsia="Lato" w:hAnsi="Lato"/>
          <w:color w:val="1A1A1A"/>
          <w:sz w:val="22"/>
          <w:szCs w:val="22"/>
        </w:rPr>
        <w:t xml:space="preserve">progress (conditional) lien waivers with each draw; unconditional final lien waivers with final payment; all subcontractors and suppliers. References Tex. Prop. Code Ch. 53.</w:t>
      </w:r>
    </w:p>
    <w:p>
      <w:pPr>
        <w:pStyle w:val="ListParagraph"/>
        <w:numPr>
          <w:ilvl w:val="0"/>
          <w:numId w:val="2"/>
        </w:numPr>
        <w:spacing w:after="60" w:before="40" w:line="290"/>
      </w:pPr>
      <w:r>
        <w:rPr>
          <w:rFonts w:ascii="Lato" w:cs="Lato" w:eastAsia="Lato" w:hAnsi="Lato"/>
          <w:b/>
          <w:bCs/>
          <w:color w:val="173F35"/>
          <w:sz w:val="22"/>
          <w:szCs w:val="22"/>
        </w:rPr>
        <w:t xml:space="preserve">Warranties — </w:t>
      </w:r>
      <w:r>
        <w:rPr>
          <w:rFonts w:ascii="Lato" w:cs="Lato" w:eastAsia="Lato" w:hAnsi="Lato"/>
          <w:color w:val="1A1A1A"/>
          <w:sz w:val="22"/>
          <w:szCs w:val="22"/>
        </w:rPr>
        <w:t xml:space="preserve">two (2) years workmanship by Vendor; manufacturer system warranty (Owens Corning SureNail / GAF Golden Pledge or equivalent) enrolled in Association’s name.</w:t>
      </w:r>
    </w:p>
    <w:p>
      <w:pPr>
        <w:pStyle w:val="ListParagraph"/>
        <w:numPr>
          <w:ilvl w:val="0"/>
          <w:numId w:val="2"/>
        </w:numPr>
        <w:spacing w:after="60" w:before="40" w:line="290"/>
      </w:pPr>
      <w:r>
        <w:rPr>
          <w:rFonts w:ascii="Lato" w:cs="Lato" w:eastAsia="Lato" w:hAnsi="Lato"/>
          <w:b/>
          <w:bCs/>
          <w:color w:val="173F35"/>
          <w:sz w:val="22"/>
          <w:szCs w:val="22"/>
        </w:rPr>
        <w:t xml:space="preserve">Governing Law &amp; Venue — </w:t>
      </w:r>
      <w:r>
        <w:rPr>
          <w:rFonts w:ascii="Lato" w:cs="Lato" w:eastAsia="Lato" w:hAnsi="Lato"/>
          <w:color w:val="1A1A1A"/>
          <w:sz w:val="22"/>
          <w:szCs w:val="22"/>
        </w:rPr>
        <w:t xml:space="preserve">Laws of Texas; venue in Harris County.</w:t>
      </w:r>
    </w:p>
    <w:p>
      <w:r>
        <w:br w:type="page"/>
      </w:r>
    </w:p>
    <w:p>
      <w:pPr>
        <w:spacing w:after="60" w:before="0"/>
      </w:pPr>
      <w:r>
        <w:rPr>
          <w:rFonts w:ascii="Lato" w:cs="Lato" w:eastAsia="Lato" w:hAnsi="Lato"/>
          <w:b/>
          <w:bCs/>
          <w:color w:val="C9A24A"/>
          <w:spacing w:val="100"/>
          <w:sz w:val="16"/>
          <w:szCs w:val="16"/>
        </w:rPr>
        <w:t xml:space="preserve">SECTION 13  /  FORM 3</w:t>
      </w:r>
    </w:p>
    <w:p>
      <w:pPr>
        <w:pStyle w:val="Heading1"/>
        <w:spacing w:after="160" w:before="280"/>
      </w:pPr>
      <w:r>
        <w:rPr>
          <w:rFonts w:ascii="Garamond" w:cs="Garamond" w:eastAsia="Garamond" w:hAnsi="Garamond"/>
          <w:b/>
          <w:bCs/>
          <w:color w:val="173F35"/>
          <w:sz w:val="40"/>
          <w:szCs w:val="40"/>
        </w:rPr>
        <w:t xml:space="preserve">Bid Sheet</w:t>
      </w:r>
    </w:p>
    <w:p>
      <w:pPr>
        <w:pBdr>
          <w:bottom w:val="single" w:color="C9A24A" w:sz="8" w:space="1"/>
        </w:pBdr>
        <w:spacing w:after="120" w:before="80"/>
      </w:pPr>
      <w:r>
        <w:t xml:space="preserve"/>
      </w:r>
    </w:p>
    <w:p>
      <w:pPr>
        <w:pStyle w:val="Heading3"/>
        <w:spacing w:after="160" w:before="280"/>
      </w:pPr>
      <w:r>
        <w:rPr>
          <w:rFonts w:ascii="Garamond" w:cs="Garamond" w:eastAsia="Garamond" w:hAnsi="Garamond"/>
          <w:b/>
          <w:bCs/>
          <w:color w:val="173F35"/>
          <w:sz w:val="26"/>
          <w:szCs w:val="26"/>
        </w:rPr>
        <w:t xml:space="preserve">13.1  Base Bid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rPr>
          <w:tblHeader/>
        </w:trPr>
        <w:tc>
          <w:tcPr>
            <w:tcW w:type="dxa" w:w="624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BASE BID LINE ITEM</w:t>
            </w:r>
          </w:p>
        </w:tc>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PRICE ($)</w:t>
            </w:r>
          </w:p>
        </w:tc>
      </w:tr>
      <w:tr>
        <w:tc>
          <w:tcPr>
            <w:tcW w:type="dxa" w:w="6240"/>
            <w:tcBorders>
              <w:top w:val="single" w:color="BFBFBF" w:sz="4"/>
              <w:left w:val="single" w:color="BFBFBF" w:sz="4"/>
              <w:bottom w:val="single" w:color="BFBFBF" w:sz="4"/>
              <w:right w:val="single" w:color="BFBFBF" w:sz="4"/>
            </w:tcBorders>
            <w:shd w:fill="F7F1DF" w:color="auto" w:val="clear"/>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Tear-off, disposal, and new roof assembly (Section 4.1)</w:t>
            </w:r>
          </w:p>
        </w:tc>
        <w:tc>
          <w:tcPr>
            <w:tcW w:type="dxa" w:w="3120"/>
            <w:tcBorders>
              <w:top w:val="single" w:color="BFBFBF" w:sz="4"/>
              <w:left w:val="single" w:color="BFBFBF" w:sz="4"/>
              <w:bottom w:val="single" w:color="BFBFBF" w:sz="4"/>
              <w:right w:val="single" w:color="BFBFBF" w:sz="4"/>
            </w:tcBorders>
            <w:shd w:fill="F7F1DF" w:color="auto" w:val="clear"/>
            <w:tcMar>
              <w:top w:type="dxa" w:w="160"/>
              <w:left w:type="dxa" w:w="160"/>
              <w:bottom w:type="dxa" w:w="160"/>
              <w:right w:type="dxa" w:w="160"/>
            </w:tcMar>
          </w:tcPr>
          <w:p>
            <w:pPr>
              <w:spacing w:after="0" w:before="0" w:line="300"/>
              <w:jc w:val="right"/>
            </w:pPr>
            <w:r>
              <w:rPr>
                <w:rFonts w:ascii="Lato" w:cs="Lato" w:eastAsia="Lato" w:hAnsi="Lato"/>
                <w:color w:val="1A1A1A"/>
                <w:sz w:val="22"/>
                <w:szCs w:val="22"/>
              </w:rPr>
              <w:t xml:space="preserve">$_______________</w:t>
            </w:r>
          </w:p>
        </w:tc>
      </w:tr>
      <w:tr>
        <w:tc>
          <w:tcPr>
            <w:tcW w:type="dxa" w:w="6240"/>
            <w:tcBorders>
              <w:top w:val="single" w:color="BFBFBF" w:sz="4"/>
              <w:left w:val="single" w:color="BFBFBF" w:sz="4"/>
              <w:bottom w:val="single" w:color="BFBFBF" w:sz="4"/>
              <w:right w:val="single" w:color="BFBFBF" w:sz="4"/>
            </w:tcBorders>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Mobilization / Demobilization</w:t>
            </w:r>
          </w:p>
        </w:tc>
        <w:tc>
          <w:tcPr>
            <w:tcW w:type="dxa" w:w="3120"/>
            <w:tcBorders>
              <w:top w:val="single" w:color="BFBFBF" w:sz="4"/>
              <w:left w:val="single" w:color="BFBFBF" w:sz="4"/>
              <w:bottom w:val="single" w:color="BFBFBF" w:sz="4"/>
              <w:right w:val="single" w:color="BFBFBF" w:sz="4"/>
            </w:tcBorders>
            <w:tcMar>
              <w:top w:type="dxa" w:w="160"/>
              <w:left w:type="dxa" w:w="160"/>
              <w:bottom w:type="dxa" w:w="160"/>
              <w:right w:type="dxa" w:w="160"/>
            </w:tcMar>
          </w:tcPr>
          <w:p>
            <w:pPr>
              <w:spacing w:after="0" w:before="0" w:line="300"/>
              <w:jc w:val="right"/>
            </w:pPr>
            <w:r>
              <w:rPr>
                <w:rFonts w:ascii="Lato" w:cs="Lato" w:eastAsia="Lato" w:hAnsi="Lato"/>
                <w:color w:val="1A1A1A"/>
                <w:sz w:val="22"/>
                <w:szCs w:val="22"/>
              </w:rPr>
              <w:t xml:space="preserve">$_______________</w:t>
            </w:r>
          </w:p>
        </w:tc>
      </w:tr>
      <w:tr>
        <w:tc>
          <w:tcPr>
            <w:tcW w:type="dxa" w:w="6240"/>
            <w:tcBorders>
              <w:top w:val="single" w:color="BFBFBF" w:sz="4"/>
              <w:left w:val="single" w:color="BFBFBF" w:sz="4"/>
              <w:bottom w:val="single" w:color="BFBFBF" w:sz="4"/>
              <w:right w:val="single" w:color="BFBFBF" w:sz="4"/>
            </w:tcBorders>
            <w:shd w:fill="F7F1DF" w:color="auto" w:val="clear"/>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General Conditions</w:t>
            </w:r>
          </w:p>
        </w:tc>
        <w:tc>
          <w:tcPr>
            <w:tcW w:type="dxa" w:w="3120"/>
            <w:tcBorders>
              <w:top w:val="single" w:color="BFBFBF" w:sz="4"/>
              <w:left w:val="single" w:color="BFBFBF" w:sz="4"/>
              <w:bottom w:val="single" w:color="BFBFBF" w:sz="4"/>
              <w:right w:val="single" w:color="BFBFBF" w:sz="4"/>
            </w:tcBorders>
            <w:shd w:fill="F7F1DF" w:color="auto" w:val="clear"/>
            <w:tcMar>
              <w:top w:type="dxa" w:w="160"/>
              <w:left w:type="dxa" w:w="160"/>
              <w:bottom w:type="dxa" w:w="160"/>
              <w:right w:type="dxa" w:w="160"/>
            </w:tcMar>
          </w:tcPr>
          <w:p>
            <w:pPr>
              <w:spacing w:after="0" w:before="0" w:line="300"/>
              <w:jc w:val="right"/>
            </w:pPr>
            <w:r>
              <w:rPr>
                <w:rFonts w:ascii="Lato" w:cs="Lato" w:eastAsia="Lato" w:hAnsi="Lato"/>
                <w:color w:val="1A1A1A"/>
                <w:sz w:val="22"/>
                <w:szCs w:val="22"/>
              </w:rPr>
              <w:t xml:space="preserve">$_______________</w:t>
            </w:r>
          </w:p>
        </w:tc>
      </w:tr>
      <w:tr>
        <w:tc>
          <w:tcPr>
            <w:tcW w:type="dxa" w:w="6240"/>
            <w:tcBorders>
              <w:top w:val="single" w:color="BFBFBF" w:sz="4"/>
              <w:left w:val="single" w:color="BFBFBF" w:sz="4"/>
              <w:bottom w:val="single" w:color="BFBFBF" w:sz="4"/>
              <w:right w:val="single" w:color="BFBFBF" w:sz="4"/>
            </w:tcBorders>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Performance / Payment / Maintenance Bonds</w:t>
            </w:r>
          </w:p>
        </w:tc>
        <w:tc>
          <w:tcPr>
            <w:tcW w:type="dxa" w:w="3120"/>
            <w:tcBorders>
              <w:top w:val="single" w:color="BFBFBF" w:sz="4"/>
              <w:left w:val="single" w:color="BFBFBF" w:sz="4"/>
              <w:bottom w:val="single" w:color="BFBFBF" w:sz="4"/>
              <w:right w:val="single" w:color="BFBFBF" w:sz="4"/>
            </w:tcBorders>
            <w:tcMar>
              <w:top w:type="dxa" w:w="160"/>
              <w:left w:type="dxa" w:w="160"/>
              <w:bottom w:type="dxa" w:w="160"/>
              <w:right w:type="dxa" w:w="160"/>
            </w:tcMar>
          </w:tcPr>
          <w:p>
            <w:pPr>
              <w:spacing w:after="0" w:before="0" w:line="300"/>
              <w:jc w:val="right"/>
            </w:pPr>
            <w:r>
              <w:rPr>
                <w:rFonts w:ascii="Lato" w:cs="Lato" w:eastAsia="Lato" w:hAnsi="Lato"/>
                <w:color w:val="1A1A1A"/>
                <w:sz w:val="22"/>
                <w:szCs w:val="22"/>
              </w:rPr>
              <w:t xml:space="preserve">$_______________</w:t>
            </w:r>
          </w:p>
        </w:tc>
      </w:tr>
      <w:tr>
        <w:tc>
          <w:tcPr>
            <w:tcW w:type="dxa" w:w="6240"/>
            <w:tcBorders>
              <w:top w:val="single" w:color="BFBFBF" w:sz="4"/>
              <w:left w:val="single" w:color="BFBFBF" w:sz="4"/>
              <w:bottom w:val="single" w:color="BFBFBF" w:sz="4"/>
              <w:right w:val="single" w:color="BFBFBF" w:sz="4"/>
            </w:tcBorders>
            <w:shd w:fill="F7F1DF" w:color="auto" w:val="clear"/>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Builder’s Risk Insurance</w:t>
            </w:r>
          </w:p>
        </w:tc>
        <w:tc>
          <w:tcPr>
            <w:tcW w:type="dxa" w:w="3120"/>
            <w:tcBorders>
              <w:top w:val="single" w:color="BFBFBF" w:sz="4"/>
              <w:left w:val="single" w:color="BFBFBF" w:sz="4"/>
              <w:bottom w:val="single" w:color="BFBFBF" w:sz="4"/>
              <w:right w:val="single" w:color="BFBFBF" w:sz="4"/>
            </w:tcBorders>
            <w:shd w:fill="F7F1DF" w:color="auto" w:val="clear"/>
            <w:tcMar>
              <w:top w:type="dxa" w:w="160"/>
              <w:left w:type="dxa" w:w="160"/>
              <w:bottom w:type="dxa" w:w="160"/>
              <w:right w:type="dxa" w:w="160"/>
            </w:tcMar>
          </w:tcPr>
          <w:p>
            <w:pPr>
              <w:spacing w:after="0" w:before="0" w:line="300"/>
              <w:jc w:val="right"/>
            </w:pPr>
            <w:r>
              <w:rPr>
                <w:rFonts w:ascii="Lato" w:cs="Lato" w:eastAsia="Lato" w:hAnsi="Lato"/>
                <w:color w:val="1A1A1A"/>
                <w:sz w:val="22"/>
                <w:szCs w:val="22"/>
              </w:rPr>
              <w:t xml:space="preserve">$_______________</w:t>
            </w:r>
          </w:p>
        </w:tc>
      </w:tr>
      <w:tr>
        <w:tc>
          <w:tcPr>
            <w:tcW w:type="dxa" w:w="6240"/>
            <w:tcBorders>
              <w:top w:val="single" w:color="BFBFBF" w:sz="4"/>
              <w:left w:val="single" w:color="BFBFBF" w:sz="4"/>
              <w:bottom w:val="single" w:color="BFBFBF" w:sz="4"/>
              <w:right w:val="single" w:color="BFBFBF" w:sz="4"/>
            </w:tcBorders>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Permits and Fees (Harris County)</w:t>
            </w:r>
          </w:p>
        </w:tc>
        <w:tc>
          <w:tcPr>
            <w:tcW w:type="dxa" w:w="3120"/>
            <w:tcBorders>
              <w:top w:val="single" w:color="BFBFBF" w:sz="4"/>
              <w:left w:val="single" w:color="BFBFBF" w:sz="4"/>
              <w:bottom w:val="single" w:color="BFBFBF" w:sz="4"/>
              <w:right w:val="single" w:color="BFBFBF" w:sz="4"/>
            </w:tcBorders>
            <w:tcMar>
              <w:top w:type="dxa" w:w="160"/>
              <w:left w:type="dxa" w:w="160"/>
              <w:bottom w:type="dxa" w:w="160"/>
              <w:right w:type="dxa" w:w="160"/>
            </w:tcMar>
          </w:tcPr>
          <w:p>
            <w:pPr>
              <w:spacing w:after="0" w:before="0" w:line="300"/>
              <w:jc w:val="right"/>
            </w:pPr>
            <w:r>
              <w:rPr>
                <w:rFonts w:ascii="Lato" w:cs="Lato" w:eastAsia="Lato" w:hAnsi="Lato"/>
                <w:color w:val="1A1A1A"/>
                <w:sz w:val="22"/>
                <w:szCs w:val="22"/>
              </w:rPr>
              <w:t xml:space="preserve">$_______________</w:t>
            </w:r>
          </w:p>
        </w:tc>
      </w:tr>
      <w:tr>
        <w:tc>
          <w:tcPr>
            <w:tcW w:type="dxa" w:w="6240"/>
            <w:tcBorders>
              <w:top w:val="single" w:color="C9A24A" w:sz="8"/>
              <w:left w:val="single" w:color="C9A24A" w:sz="8"/>
              <w:bottom w:val="single" w:color="C9A24A" w:sz="8"/>
              <w:right w:val="single" w:color="C9A24A" w:sz="8"/>
            </w:tcBorders>
            <w:shd w:fill="EAE2C7" w:color="auto" w:val="clear"/>
            <w:tcMar>
              <w:top w:type="dxa" w:w="160"/>
              <w:left w:type="dxa" w:w="160"/>
              <w:bottom w:type="dxa" w:w="160"/>
              <w:right w:type="dxa" w:w="160"/>
            </w:tcMar>
          </w:tcPr>
          <w:p>
            <w:pPr>
              <w:spacing w:after="0" w:before="0" w:line="300"/>
              <w:jc w:val="left"/>
            </w:pPr>
            <w:r>
              <w:rPr>
                <w:rFonts w:ascii="Lato" w:cs="Lato" w:eastAsia="Lato" w:hAnsi="Lato"/>
                <w:b/>
                <w:bCs/>
                <w:color w:val="173F35"/>
                <w:sz w:val="22"/>
                <w:szCs w:val="22"/>
              </w:rPr>
              <w:t xml:space="preserve">TOTAL BASE BID</w:t>
            </w:r>
          </w:p>
        </w:tc>
        <w:tc>
          <w:tcPr>
            <w:tcW w:type="dxa" w:w="3120"/>
            <w:tcBorders>
              <w:top w:val="single" w:color="C9A24A" w:sz="8"/>
              <w:left w:val="single" w:color="C9A24A" w:sz="8"/>
              <w:bottom w:val="single" w:color="C9A24A" w:sz="8"/>
              <w:right w:val="single" w:color="C9A24A" w:sz="8"/>
            </w:tcBorders>
            <w:shd w:fill="EAE2C7" w:color="auto" w:val="clear"/>
            <w:tcMar>
              <w:top w:type="dxa" w:w="160"/>
              <w:left w:type="dxa" w:w="160"/>
              <w:bottom w:type="dxa" w:w="160"/>
              <w:right w:type="dxa" w:w="160"/>
            </w:tcMar>
          </w:tcPr>
          <w:p>
            <w:pPr>
              <w:spacing w:after="0" w:before="0" w:line="300"/>
              <w:jc w:val="right"/>
            </w:pPr>
            <w:r>
              <w:rPr>
                <w:rFonts w:ascii="Lato" w:cs="Lato" w:eastAsia="Lato" w:hAnsi="Lato"/>
                <w:b/>
                <w:bCs/>
                <w:color w:val="173F35"/>
                <w:sz w:val="22"/>
                <w:szCs w:val="22"/>
              </w:rPr>
              <w:t xml:space="preserve">$_______________</w:t>
            </w:r>
          </w:p>
        </w:tc>
      </w:tr>
    </w:tbl>
    <w:p>
      <w:pPr>
        <w:spacing w:after="8" w:before="8"/>
      </w:pPr>
      <w:r>
        <w:rPr>
          <w:sz w:val="2"/>
          <w:szCs w:val="2"/>
        </w:rPr>
        <w:t xml:space="preserve"/>
      </w:r>
    </w:p>
    <w:p>
      <w:pPr>
        <w:pStyle w:val="Heading3"/>
        <w:spacing w:after="160" w:before="280"/>
      </w:pPr>
      <w:r>
        <w:rPr>
          <w:rFonts w:ascii="Garamond" w:cs="Garamond" w:eastAsia="Garamond" w:hAnsi="Garamond"/>
          <w:b/>
          <w:bCs/>
          <w:color w:val="173F35"/>
          <w:sz w:val="26"/>
          <w:szCs w:val="26"/>
        </w:rPr>
        <w:t xml:space="preserve">13.2  Allowances (included in Base Bid)</w:t>
      </w:r>
    </w:p>
    <w:p>
      <w:pPr>
        <w:pStyle w:val="ListParagraph"/>
        <w:numPr>
          <w:ilvl w:val="0"/>
          <w:numId w:val="2"/>
        </w:numPr>
        <w:spacing w:after="60" w:before="40" w:line="290"/>
      </w:pPr>
      <w:r>
        <w:rPr>
          <w:rFonts w:ascii="Lato" w:cs="Lato" w:eastAsia="Lato" w:hAnsi="Lato"/>
          <w:color w:val="1A1A1A"/>
          <w:sz w:val="22"/>
          <w:szCs w:val="22"/>
        </w:rPr>
        <w:t xml:space="preserve">Roof deck replacement — up to 800 sq. ft. — $14,000</w:t>
      </w:r>
    </w:p>
    <w:p>
      <w:pPr>
        <w:pStyle w:val="ListParagraph"/>
        <w:numPr>
          <w:ilvl w:val="0"/>
          <w:numId w:val="2"/>
        </w:numPr>
        <w:spacing w:after="60" w:before="40" w:line="290"/>
      </w:pPr>
      <w:r>
        <w:rPr>
          <w:rFonts w:ascii="Lato" w:cs="Lato" w:eastAsia="Lato" w:hAnsi="Lato"/>
          <w:color w:val="1A1A1A"/>
          <w:sz w:val="22"/>
          <w:szCs w:val="22"/>
        </w:rPr>
        <w:t xml:space="preserve">Fascia / soffit replacement — $8,000</w:t>
      </w:r>
    </w:p>
    <w:p>
      <w:pPr>
        <w:pStyle w:val="ListParagraph"/>
        <w:numPr>
          <w:ilvl w:val="0"/>
          <w:numId w:val="2"/>
        </w:numPr>
        <w:spacing w:after="60" w:before="40" w:line="290"/>
      </w:pPr>
      <w:r>
        <w:rPr>
          <w:rFonts w:ascii="Lato" w:cs="Lato" w:eastAsia="Lato" w:hAnsi="Lato"/>
          <w:color w:val="1A1A1A"/>
          <w:sz w:val="22"/>
          <w:szCs w:val="22"/>
        </w:rPr>
        <w:t xml:space="preserve">Skylight flashing kits — $5,000</w:t>
      </w:r>
    </w:p>
    <w:p>
      <w:pPr>
        <w:pStyle w:val="Heading3"/>
        <w:spacing w:after="160" w:before="280"/>
      </w:pPr>
      <w:r>
        <w:rPr>
          <w:rFonts w:ascii="Garamond" w:cs="Garamond" w:eastAsia="Garamond" w:hAnsi="Garamond"/>
          <w:b/>
          <w:bCs/>
          <w:color w:val="173F35"/>
          <w:sz w:val="26"/>
          <w:szCs w:val="26"/>
        </w:rPr>
        <w:t xml:space="preserve">13.3  Alternates</w:t>
      </w:r>
    </w:p>
    <w:p>
      <w:pPr>
        <w:pStyle w:val="ListParagraph"/>
        <w:numPr>
          <w:ilvl w:val="0"/>
          <w:numId w:val="2"/>
        </w:numPr>
        <w:spacing w:after="60" w:before="40" w:line="290"/>
      </w:pPr>
      <w:r>
        <w:rPr>
          <w:rFonts w:ascii="Lato" w:cs="Lato" w:eastAsia="Lato" w:hAnsi="Lato"/>
          <w:color w:val="1A1A1A"/>
          <w:sz w:val="22"/>
          <w:szCs w:val="22"/>
        </w:rPr>
        <w:t xml:space="preserve">Alternate 1 — Upgrade to GAF Golden Pledge limited lifetime non-prorated system warranty: ADD $_____</w:t>
      </w:r>
    </w:p>
    <w:p>
      <w:pPr>
        <w:pStyle w:val="ListParagraph"/>
        <w:numPr>
          <w:ilvl w:val="0"/>
          <w:numId w:val="2"/>
        </w:numPr>
        <w:spacing w:after="60" w:before="40" w:line="290"/>
      </w:pPr>
      <w:r>
        <w:rPr>
          <w:rFonts w:ascii="Lato" w:cs="Lato" w:eastAsia="Lato" w:hAnsi="Lato"/>
          <w:color w:val="1A1A1A"/>
          <w:sz w:val="22"/>
          <w:szCs w:val="22"/>
        </w:rPr>
        <w:t xml:space="preserve">Alternate 2 — Solar attic ventilation fans (qty: 4): ADD $_____</w:t>
      </w:r>
    </w:p>
    <w:p>
      <w:pPr>
        <w:pStyle w:val="ListParagraph"/>
        <w:numPr>
          <w:ilvl w:val="0"/>
          <w:numId w:val="2"/>
        </w:numPr>
        <w:spacing w:after="60" w:before="40" w:line="290"/>
      </w:pPr>
      <w:r>
        <w:rPr>
          <w:rFonts w:ascii="Lato" w:cs="Lato" w:eastAsia="Lato" w:hAnsi="Lato"/>
          <w:color w:val="1A1A1A"/>
          <w:sz w:val="22"/>
          <w:szCs w:val="22"/>
        </w:rPr>
        <w:t xml:space="preserve">Alternate 3 — Snow guards / ice dam protection: ADD $_____ (typically not needed in Cypress; included as evaluator option)</w:t>
      </w:r>
    </w:p>
    <w:p>
      <w:r>
        <w:br w:type="page"/>
      </w:r>
    </w:p>
    <w:p>
      <w:pPr>
        <w:spacing w:after="60" w:before="0"/>
      </w:pPr>
      <w:r>
        <w:rPr>
          <w:rFonts w:ascii="Lato" w:cs="Lato" w:eastAsia="Lato" w:hAnsi="Lato"/>
          <w:b/>
          <w:bCs/>
          <w:color w:val="C9A24A"/>
          <w:spacing w:val="100"/>
          <w:sz w:val="16"/>
          <w:szCs w:val="16"/>
        </w:rPr>
        <w:t xml:space="preserve">SECTION 14  /  FORM 4</w:t>
      </w:r>
    </w:p>
    <w:p>
      <w:pPr>
        <w:pStyle w:val="Heading1"/>
        <w:spacing w:after="160" w:before="280"/>
      </w:pPr>
      <w:r>
        <w:rPr>
          <w:rFonts w:ascii="Garamond" w:cs="Garamond" w:eastAsia="Garamond" w:hAnsi="Garamond"/>
          <w:b/>
          <w:bCs/>
          <w:color w:val="173F35"/>
          <w:sz w:val="40"/>
          <w:szCs w:val="40"/>
        </w:rPr>
        <w:t xml:space="preserve">Bid Authorization &amp; Affidavit</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By signing below, the undersigned officer certifies, under penalty of perjury:</w:t>
      </w:r>
    </w:p>
    <w:p>
      <w:pPr>
        <w:pStyle w:val="ListParagraph"/>
        <w:numPr>
          <w:ilvl w:val="0"/>
          <w:numId w:val="3"/>
        </w:numPr>
        <w:spacing w:after="100" w:before="60" w:line="300"/>
      </w:pPr>
      <w:r>
        <w:rPr>
          <w:rFonts w:ascii="Lato" w:cs="Lato" w:eastAsia="Lato" w:hAnsi="Lato"/>
          <w:color w:val="1A1A1A"/>
          <w:sz w:val="22"/>
          <w:szCs w:val="22"/>
        </w:rPr>
        <w:t xml:space="preserve">Examination of the RFP, Reserve Study excerpt, Strickland Engineering report, and architectural plans.</w:t>
      </w:r>
    </w:p>
    <w:p>
      <w:pPr>
        <w:pStyle w:val="ListParagraph"/>
        <w:numPr>
          <w:ilvl w:val="0"/>
          <w:numId w:val="3"/>
        </w:numPr>
        <w:spacing w:after="100" w:before="60" w:line="300"/>
      </w:pPr>
      <w:r>
        <w:rPr>
          <w:rFonts w:ascii="Lato" w:cs="Lato" w:eastAsia="Lato" w:hAnsi="Lato"/>
          <w:color w:val="1A1A1A"/>
          <w:sz w:val="22"/>
          <w:szCs w:val="22"/>
        </w:rPr>
        <w:t xml:space="preserve">No collusion in restraint of free competitive bidding.</w:t>
      </w:r>
    </w:p>
    <w:p>
      <w:pPr>
        <w:pStyle w:val="ListParagraph"/>
        <w:numPr>
          <w:ilvl w:val="0"/>
          <w:numId w:val="3"/>
        </w:numPr>
        <w:spacing w:after="100" w:before="60" w:line="300"/>
      </w:pPr>
      <w:r>
        <w:rPr>
          <w:rFonts w:ascii="Lato" w:cs="Lato" w:eastAsia="Lato" w:hAnsi="Lato"/>
          <w:color w:val="1A1A1A"/>
          <w:sz w:val="22"/>
          <w:szCs w:val="22"/>
        </w:rPr>
        <w:t xml:space="preserve">Disclosure of any conflict of interest under Section 7.</w:t>
      </w:r>
    </w:p>
    <w:p>
      <w:pPr>
        <w:pStyle w:val="ListParagraph"/>
        <w:numPr>
          <w:ilvl w:val="0"/>
          <w:numId w:val="3"/>
        </w:numPr>
        <w:spacing w:after="100" w:before="60" w:line="300"/>
      </w:pPr>
      <w:r>
        <w:rPr>
          <w:rFonts w:ascii="Lato" w:cs="Lato" w:eastAsia="Lato" w:hAnsi="Lato"/>
          <w:color w:val="1A1A1A"/>
          <w:sz w:val="22"/>
          <w:szCs w:val="22"/>
        </w:rPr>
        <w:t xml:space="preserve">All work at the proposing company’s sole cost and expense.</w:t>
      </w:r>
    </w:p>
    <w:p>
      <w:pPr>
        <w:pStyle w:val="ListParagraph"/>
        <w:numPr>
          <w:ilvl w:val="0"/>
          <w:numId w:val="3"/>
        </w:numPr>
        <w:spacing w:after="100" w:before="60" w:line="300"/>
      </w:pPr>
      <w:r>
        <w:rPr>
          <w:rFonts w:ascii="Lato" w:cs="Lato" w:eastAsia="Lato" w:hAnsi="Lato"/>
          <w:color w:val="1A1A1A"/>
          <w:sz w:val="22"/>
          <w:szCs w:val="22"/>
        </w:rPr>
        <w:t xml:space="preserve">Pricing firm and valid for 90 calendar days.</w:t>
      </w:r>
    </w:p>
    <w:p>
      <w:pPr>
        <w:pStyle w:val="ListParagraph"/>
        <w:numPr>
          <w:ilvl w:val="0"/>
          <w:numId w:val="3"/>
        </w:numPr>
        <w:spacing w:after="100" w:before="60" w:line="300"/>
      </w:pPr>
      <w:r>
        <w:rPr>
          <w:rFonts w:ascii="Lato" w:cs="Lato" w:eastAsia="Lato" w:hAnsi="Lato"/>
          <w:color w:val="1A1A1A"/>
          <w:sz w:val="22"/>
          <w:szCs w:val="22"/>
        </w:rPr>
        <w:t xml:space="preserve">Bonding capacity as stated in the attached surety letter.</w:t>
      </w:r>
    </w:p>
    <w:p>
      <w:pPr>
        <w:pStyle w:val="ListParagraph"/>
        <w:numPr>
          <w:ilvl w:val="0"/>
          <w:numId w:val="3"/>
        </w:numPr>
        <w:spacing w:after="100" w:before="60" w:line="300"/>
      </w:pPr>
      <w:r>
        <w:rPr>
          <w:rFonts w:ascii="Lato" w:cs="Lato" w:eastAsia="Lato" w:hAnsi="Lato"/>
          <w:color w:val="1A1A1A"/>
          <w:sz w:val="22"/>
          <w:szCs w:val="22"/>
        </w:rPr>
        <w:t xml:space="preserve">Texas roofing contractor licensing and TDI Designated Hail / Wind certification current.</w:t>
      </w:r>
    </w:p>
    <w:p>
      <w:pPr>
        <w:spacing w:after="8" w:before="8"/>
      </w:pPr>
      <w:r>
        <w:rPr>
          <w:sz w:val="2"/>
          <w:szCs w:val="2"/>
        </w:rPr>
        <w:t xml:space="preserve"/>
      </w:r>
    </w:p>
    <w:p>
      <w:pPr>
        <w:pBdr>
          <w:bottom w:val="single" w:color="173F35" w:sz="6"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auto" w:sz="0"/>
              <w:left w:val="none" w:color="auto" w:sz="0"/>
              <w:bottom w:val="none" w:color="auto" w:sz="0"/>
              <w:right w:val="none" w:color="auto" w:sz="0"/>
            </w:tcBorders>
            <w:tcMar>
              <w:top w:type="dxa" w:w="200"/>
              <w:left w:type="dxa" w:w="0"/>
              <w:bottom w:type="dxa" w:w="200"/>
              <w:right w:type="dxa" w:w="200"/>
            </w:tcMar>
          </w:tcPr>
          <w:p>
            <w:pPr>
              <w:spacing w:after="60" w:before="320"/>
            </w:pPr>
            <w:r>
              <w:rPr>
                <w:rFonts w:ascii="Lato" w:cs="Lato" w:eastAsia="Lato" w:hAnsi="Lato"/>
                <w:b/>
                <w:bCs/>
                <w:color w:val="1A1A1A"/>
                <w:sz w:val="22"/>
                <w:szCs w:val="22"/>
              </w:rPr>
              <w:t xml:space="preserve">Signature</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60" w:before="0" w:line="300"/>
              <w:jc w:val="left"/>
            </w:pPr>
            <w:r>
              <w:rPr>
                <w:rFonts w:ascii="Lato" w:cs="Lato" w:eastAsia="Lato" w:hAnsi="Lato"/>
                <w:color w:val="5C5C5C"/>
                <w:sz w:val="18"/>
                <w:szCs w:val="18"/>
              </w:rPr>
              <w:t xml:space="preserve">Title: ____________________________________</w:t>
            </w:r>
          </w:p>
        </w:tc>
        <w:tc>
          <w:tcPr>
            <w:tcW w:type="dxa" w:w="4680"/>
            <w:tcBorders>
              <w:top w:val="none" w:color="auto" w:sz="0"/>
              <w:left w:val="none" w:color="auto" w:sz="0"/>
              <w:bottom w:val="none" w:color="auto" w:sz="0"/>
              <w:right w:val="none" w:color="auto" w:sz="0"/>
            </w:tcBorders>
            <w:tcMar>
              <w:top w:type="dxa" w:w="200"/>
              <w:left w:type="dxa" w:w="200"/>
              <w:bottom w:type="dxa" w:w="200"/>
              <w:right w:type="dxa" w:w="0"/>
            </w:tcMar>
          </w:tcPr>
          <w:p>
            <w:pPr>
              <w:spacing w:after="60" w:before="320"/>
            </w:pPr>
            <w:r>
              <w:rPr>
                <w:rFonts w:ascii="Lato" w:cs="Lato" w:eastAsia="Lato" w:hAnsi="Lato"/>
                <w:b/>
                <w:bCs/>
                <w:color w:val="1A1A1A"/>
                <w:sz w:val="22"/>
                <w:szCs w:val="22"/>
              </w:rPr>
              <w:t xml:space="preserve">Company Name</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Date: ____________________________________</w:t>
            </w:r>
          </w:p>
          <w:p>
            <w:pPr>
              <w:spacing w:after="60" w:before="0" w:line="300"/>
              <w:jc w:val="left"/>
            </w:pPr>
            <w:r>
              <w:rPr>
                <w:rFonts w:ascii="Lato" w:cs="Lato" w:eastAsia="Lato" w:hAnsi="Lato"/>
                <w:color w:val="5C5C5C"/>
                <w:sz w:val="18"/>
                <w:szCs w:val="18"/>
              </w:rPr>
              <w:t xml:space="preserve">RFP Reference #: ____________________________</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Sample RFP  •  Roof Replacement  •  Texas</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Sample RFP — Roof Replacement (TX)</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4"/>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RFP — Roof Replacement (Texas)</dc:title>
  <dc:creator>Common Interest Community Standards Council (CIC-SC)</dc:creator>
  <dc:description>CIC-SC standalone draft (illustrative).</dc:description>
  <cp:lastModifiedBy>Un-named</cp:lastModifiedBy>
  <cp:revision>1</cp:revision>
  <dcterms:created xsi:type="dcterms:W3CDTF">2026-05-10T22:04:07.955Z</dcterms:created>
  <dcterms:modified xsi:type="dcterms:W3CDTF">2026-05-10T22:04:07.955Z</dcterms:modified>
</cp:coreProperties>
</file>

<file path=docProps/custom.xml><?xml version="1.0" encoding="utf-8"?>
<Properties xmlns="http://schemas.openxmlformats.org/officeDocument/2006/custom-properties" xmlns:vt="http://schemas.openxmlformats.org/officeDocument/2006/docPropsVTypes"/>
</file>