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header+xml" PartName="/word/header2.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360" w:hRule="exact"/>
        </w:trPr>
        <w:tc>
          <w:tcPr>
            <w:tcW w:type="dxa" w:w="9360"/>
            <w:tcBorders>
              <w:top w:val="none" w:color="auto" w:sz="0"/>
              <w:left w:val="none" w:color="auto" w:sz="0"/>
              <w:bottom w:val="none" w:color="auto" w:sz="0"/>
              <w:right w:val="none" w:color="auto" w:sz="0"/>
            </w:tcBorders>
            <w:shd w:fill="C9A24A" w:color="auto" w:val="clear"/>
            <w:tcMar>
              <w:top w:type="dxa" w:w="0"/>
              <w:left w:type="dxa" w:w="0"/>
              <w:bottom w:type="dxa" w:w="0"/>
              <w:right w:type="dxa" w:w="0"/>
            </w:tcMar>
          </w:tcPr>
          <w:p>
            <w:r>
              <w:t xml:space="preserve"/>
            </w:r>
          </w:p>
        </w:tc>
      </w:tr>
    </w:tbl>
    <w:p>
      <w:pPr>
        <w:spacing w:after="0" w:before="0"/>
      </w:pPr>
      <w:r>
        <w:rPr>
          <w:sz w:val="2"/>
          <w:szCs w:val="2"/>
        </w:rPr>
        <w:t xml:space="preserve"/>
      </w:r>
    </w:p>
    <w:p>
      <w:pPr>
        <w:spacing w:after="80" w:before="320"/>
        <w:jc w:val="left"/>
      </w:pPr>
      <w:r>
        <w:rPr>
          <w:rFonts w:ascii="Lato" w:cs="Lato" w:eastAsia="Lato" w:hAnsi="Lato"/>
          <w:b/>
          <w:bCs/>
          <w:color w:val="173F35"/>
          <w:spacing w:val="120"/>
          <w:sz w:val="16"/>
          <w:szCs w:val="16"/>
        </w:rPr>
        <w:t xml:space="preserve">COMMON INTEREST COMMUNITY STANDARDS COUNCIL</w:t>
      </w:r>
    </w:p>
    <w:p>
      <w:pPr>
        <w:spacing w:after="60" w:before="0"/>
        <w:jc w:val="left"/>
      </w:pPr>
      <w:r>
        <w:rPr>
          <w:rFonts w:ascii="Lato" w:cs="Lato" w:eastAsia="Lato" w:hAnsi="Lato"/>
          <w:i/>
          <w:iCs/>
          <w:color w:val="5C5C5C"/>
          <w:sz w:val="18"/>
          <w:szCs w:val="18"/>
        </w:rPr>
        <w:t xml:space="preserve">Sample RFP  /  Standalone Draft / Tier 1–2</w:t>
      </w:r>
    </w:p>
    <w:p>
      <w:pPr>
        <w:pBdr>
          <w:bottom w:val="single" w:color="C9A24A" w:sz="12" w:space="1"/>
        </w:pBdr>
        <w:spacing w:after="120" w:before="80"/>
      </w:pPr>
      <w:r>
        <w:t xml:space="preserve"/>
      </w:r>
    </w:p>
    <w:p>
      <w:pPr>
        <w:spacing w:after="240" w:before="1200"/>
        <w:jc w:val="left"/>
      </w:pPr>
      <w:r>
        <w:rPr>
          <w:rFonts w:ascii="Garamond" w:cs="Garamond" w:eastAsia="Garamond" w:hAnsi="Garamond"/>
          <w:color w:val="173F35"/>
          <w:sz w:val="60"/>
          <w:szCs w:val="60"/>
        </w:rPr>
        <w:t xml:space="preserve">Swimming Pool</w:t>
      </w:r>
    </w:p>
    <w:p>
      <w:pPr>
        <w:spacing w:after="240" w:before="0"/>
        <w:jc w:val="left"/>
      </w:pPr>
      <w:r>
        <w:rPr>
          <w:rFonts w:ascii="Garamond" w:cs="Garamond" w:eastAsia="Garamond" w:hAnsi="Garamond"/>
          <w:i/>
          <w:iCs/>
          <w:color w:val="173F35"/>
          <w:sz w:val="60"/>
          <w:szCs w:val="60"/>
        </w:rPr>
        <w:t xml:space="preserve">&amp; Spa Service</w:t>
      </w:r>
    </w:p>
    <w:p>
      <w:pPr>
        <w:spacing w:after="1200" w:before="80"/>
        <w:jc w:val="left"/>
      </w:pPr>
      <w:r>
        <w:rPr>
          <w:rFonts w:ascii="Lato" w:cs="Lato" w:eastAsia="Lato" w:hAnsi="Lato"/>
          <w:color w:val="1A1A1A"/>
          <w:sz w:val="24"/>
          <w:szCs w:val="24"/>
        </w:rPr>
        <w:t xml:space="preserve">Sample RFP for an annual commercial pool and spa service contract for Tarpon Bay Condominium Association, Inc., an example Florida residential condominium. Edit and adapt to your community.</w:t>
      </w:r>
    </w:p>
    <w:p>
      <w:pPr>
        <w:pBdr>
          <w:bottom w:val="single" w:color="173F35" w:sz="8" w:space="1"/>
        </w:pBdr>
        <w:spacing w:after="120" w:before="80"/>
      </w:pPr>
      <w:r>
        <w:t xml:space="preserve"/>
      </w:r>
    </w:p>
    <w:p>
      <w:pPr>
        <w:spacing w:after="40" w:before="0"/>
        <w:jc w:val="left"/>
      </w:pPr>
      <w:r>
        <w:rPr>
          <w:rFonts w:ascii="Lato" w:cs="Lato" w:eastAsia="Lato" w:hAnsi="Lato"/>
          <w:b/>
          <w:bCs/>
          <w:color w:val="C9A24A"/>
          <w:spacing w:val="100"/>
          <w:sz w:val="16"/>
          <w:szCs w:val="16"/>
        </w:rPr>
        <w:t xml:space="preserve">RESOURCE TYPE</w:t>
      </w:r>
    </w:p>
    <w:p>
      <w:pPr>
        <w:spacing w:after="200" w:before="0"/>
        <w:jc w:val="left"/>
      </w:pPr>
      <w:r>
        <w:rPr>
          <w:rFonts w:ascii="Lato" w:cs="Lato" w:eastAsia="Lato" w:hAnsi="Lato"/>
          <w:color w:val="1A1A1A"/>
          <w:sz w:val="22"/>
          <w:szCs w:val="22"/>
        </w:rPr>
        <w:t xml:space="preserve">Standalone Draft  •  Florida Sample</w:t>
      </w:r>
    </w:p>
    <w:p>
      <w:pPr>
        <w:spacing w:after="40" w:before="0"/>
        <w:jc w:val="left"/>
      </w:pPr>
      <w:r>
        <w:rPr>
          <w:rFonts w:ascii="Lato" w:cs="Lato" w:eastAsia="Lato" w:hAnsi="Lato"/>
          <w:b/>
          <w:bCs/>
          <w:color w:val="C9A24A"/>
          <w:spacing w:val="100"/>
          <w:sz w:val="16"/>
          <w:szCs w:val="16"/>
        </w:rPr>
        <w:t xml:space="preserve">AUDIENCE</w:t>
      </w:r>
    </w:p>
    <w:p>
      <w:pPr>
        <w:spacing w:after="200" w:before="0"/>
        <w:jc w:val="left"/>
      </w:pPr>
      <w:r>
        <w:rPr>
          <w:rFonts w:ascii="Lato" w:cs="Lato" w:eastAsia="Lato" w:hAnsi="Lato"/>
          <w:color w:val="1A1A1A"/>
          <w:sz w:val="22"/>
          <w:szCs w:val="22"/>
        </w:rPr>
        <w:t xml:space="preserve">Condominium Boards  •  Association Managers  •  Self-Managed Associations</w:t>
      </w:r>
    </w:p>
    <w:p>
      <w:pPr>
        <w:spacing w:after="40" w:before="0"/>
        <w:jc w:val="left"/>
      </w:pPr>
      <w:r>
        <w:rPr>
          <w:rFonts w:ascii="Lato" w:cs="Lato" w:eastAsia="Lato" w:hAnsi="Lato"/>
          <w:b/>
          <w:bCs/>
          <w:color w:val="C9A24A"/>
          <w:spacing w:val="100"/>
          <w:sz w:val="16"/>
          <w:szCs w:val="16"/>
        </w:rPr>
        <w:t xml:space="preserve">PAIRS WITH</w:t>
      </w:r>
    </w:p>
    <w:p>
      <w:pPr>
        <w:spacing w:after="200" w:before="0"/>
        <w:jc w:val="left"/>
      </w:pPr>
      <w:r>
        <w:rPr>
          <w:rFonts w:ascii="Lato" w:cs="Lato" w:eastAsia="Lato" w:hAnsi="Lato"/>
          <w:color w:val="1A1A1A"/>
          <w:sz w:val="22"/>
          <w:szCs w:val="22"/>
        </w:rPr>
        <w:t xml:space="preserve">RFP Tier 1/2 Adoption-Ready Template  •  Comparative Proposal Evaluation Worksheet</w:t>
      </w:r>
    </w:p>
    <w:p>
      <w:pPr>
        <w:spacing w:after="40" w:before="0"/>
        <w:jc w:val="left"/>
      </w:pPr>
      <w:r>
        <w:rPr>
          <w:rFonts w:ascii="Lato" w:cs="Lato" w:eastAsia="Lato" w:hAnsi="Lato"/>
          <w:b/>
          <w:bCs/>
          <w:color w:val="C9A24A"/>
          <w:spacing w:val="100"/>
          <w:sz w:val="16"/>
          <w:szCs w:val="16"/>
        </w:rPr>
        <w:t xml:space="preserve">PUBLISHED BY</w:t>
      </w:r>
    </w:p>
    <w:p>
      <w:pPr>
        <w:spacing w:after="0" w:before="0"/>
        <w:jc w:val="left"/>
      </w:pPr>
      <w:r>
        <w:rPr>
          <w:rFonts w:ascii="Lato" w:cs="Lato" w:eastAsia="Lato" w:hAnsi="Lato"/>
          <w:b/>
          <w:bCs/>
          <w:color w:val="1A1A1A"/>
          <w:sz w:val="22"/>
          <w:szCs w:val="22"/>
        </w:rPr>
        <w:t xml:space="preserve">Common Interest Community Standards Council  </w:t>
      </w:r>
      <w:r>
        <w:rPr>
          <w:rFonts w:ascii="Lato" w:cs="Lato" w:eastAsia="Lato" w:hAnsi="Lato"/>
          <w:color w:val="173F35"/>
          <w:sz w:val="22"/>
          <w:szCs w:val="22"/>
        </w:rPr>
        <w:t xml:space="preserve">•  CIC-SC.org</w:t>
      </w:r>
    </w:p>
    <w:p>
      <w:r>
        <w:br w:type="page"/>
      </w:r>
    </w:p>
    <w:p>
      <w:pPr>
        <w:sectPr>
          <w:headerReference w:type="default" r:id="rId7"/>
          <w:footerReference w:type="default" r:id="rId8"/>
          <w:pgSz w:w="12240" w:h="15840" w:orient="portrait"/>
          <w:pgMar w:top="0" w:right="1080" w:bottom="720" w:left="1080" w:header="0" w:footer="360" w:gutter="0"/>
          <w:pgNumType/>
          <w:docGrid w:linePitch="360"/>
        </w:sectPr>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9A24A" w:sz="4"/>
              <w:left w:val="single" w:color="C9A24A" w:sz="24"/>
              <w:bottom w:val="single" w:color="C9A24A" w:sz="4"/>
              <w:right w:val="single" w:color="C9A24A" w:sz="4"/>
            </w:tcBorders>
            <w:shd w:fill="EAE2C7" w:color="auto" w:val="clear"/>
            <w:tcMar>
              <w:top w:type="dxa" w:w="200"/>
              <w:left w:type="dxa" w:w="240"/>
              <w:bottom w:type="dxa" w:w="200"/>
              <w:right w:type="dxa" w:w="240"/>
            </w:tcMar>
          </w:tcPr>
          <w:p>
            <w:pPr>
              <w:spacing w:after="80" w:before="0"/>
            </w:pPr>
            <w:r>
              <w:rPr>
                <w:rFonts w:ascii="Lato" w:cs="Lato" w:eastAsia="Lato" w:hAnsi="Lato"/>
                <w:b/>
                <w:bCs/>
                <w:color w:val="173F35"/>
                <w:spacing w:val="80"/>
                <w:sz w:val="16"/>
                <w:szCs w:val="16"/>
              </w:rPr>
              <w:t xml:space="preserve">THIS IS A FULLY POPULATED EXAMPLE</w:t>
            </w:r>
          </w:p>
          <w:p>
            <w:pPr>
              <w:spacing w:after="0" w:before="0" w:line="300"/>
              <w:jc w:val="left"/>
            </w:pPr>
            <w:r>
              <w:rPr>
                <w:rFonts w:ascii="Lato" w:cs="Lato" w:eastAsia="Lato" w:hAnsi="Lato"/>
                <w:color w:val="1A1A1A"/>
                <w:sz w:val="22"/>
                <w:szCs w:val="22"/>
              </w:rPr>
              <w:t xml:space="preserve">The names, dates, dollar values, and equipment described in this draft are illustrative. Replace them with your association’s information before issuing. The structure, scope language, evaluation criteria, insurance limits, and contract terms reflect CIC-SC best practice for a 12-month commercial pool service contract serving a Florida condominium subject to Chapter 718 of the Florida Statutes.</w:t>
            </w:r>
          </w:p>
        </w:tc>
      </w:tr>
    </w:tbl>
    <w:p>
      <w:pPr>
        <w:spacing w:after="8" w:before="8"/>
      </w:pPr>
      <w:r>
        <w:rPr>
          <w:sz w:val="2"/>
          <w:szCs w:val="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73F35" w:sz="4"/>
              <w:left w:val="single" w:color="173F35" w:sz="24"/>
              <w:bottom w:val="single" w:color="173F35" w:sz="4"/>
              <w:right w:val="single" w:color="173F35" w:sz="4"/>
            </w:tcBorders>
            <w:shd w:fill="DDE7E2" w:color="auto" w:val="clear"/>
            <w:tcMar>
              <w:top w:type="dxa" w:w="200"/>
              <w:left w:type="dxa" w:w="240"/>
              <w:bottom w:type="dxa" w:w="200"/>
              <w:right w:type="dxa" w:w="240"/>
            </w:tcMar>
          </w:tcPr>
          <w:p>
            <w:pPr>
              <w:spacing w:after="80" w:before="0"/>
            </w:pPr>
            <w:r>
              <w:rPr>
                <w:rFonts w:ascii="Lato" w:cs="Lato" w:eastAsia="Lato" w:hAnsi="Lato"/>
                <w:b/>
                <w:bCs/>
                <w:color w:val="173F35"/>
                <w:spacing w:val="80"/>
                <w:sz w:val="16"/>
                <w:szCs w:val="16"/>
              </w:rPr>
              <w:t xml:space="preserve">FLORIDA § 718.3026 REMINDER</w:t>
            </w:r>
          </w:p>
          <w:p>
            <w:pPr>
              <w:spacing w:after="0" w:before="0" w:line="300"/>
              <w:jc w:val="left"/>
            </w:pPr>
            <w:r>
              <w:rPr>
                <w:rFonts w:ascii="Lato" w:cs="Lato" w:eastAsia="Lato" w:hAnsi="Lato"/>
                <w:color w:val="1A1A1A"/>
                <w:sz w:val="22"/>
                <w:szCs w:val="22"/>
              </w:rPr>
              <w:t xml:space="preserve">Florida condominium associations are subject to Fla. Stat. § 718.3026 (Contracts for products and services), which can require competitive bids when an aggregate contract exceeds 5% of the association’s annual budget (with statutory exceptions). Confirm current effective text and your association’s thresholds with counsel before issuing.</w:t>
            </w:r>
          </w:p>
        </w:tc>
      </w:tr>
    </w:tbl>
    <w:p>
      <w:pPr>
        <w:spacing w:after="8" w:before="8"/>
      </w:pPr>
      <w:r>
        <w:rPr>
          <w:sz w:val="2"/>
          <w:szCs w:val="2"/>
        </w:rPr>
        <w:t xml:space="preserve"/>
      </w:r>
    </w:p>
    <w:p>
      <w:r>
        <w:br w:type="page"/>
      </w:r>
    </w:p>
    <w:p>
      <w:pPr>
        <w:spacing w:after="60" w:before="0"/>
      </w:pPr>
      <w:r>
        <w:rPr>
          <w:rFonts w:ascii="Lato" w:cs="Lato" w:eastAsia="Lato" w:hAnsi="Lato"/>
          <w:b/>
          <w:bCs/>
          <w:color w:val="C9A24A"/>
          <w:spacing w:val="100"/>
          <w:sz w:val="16"/>
          <w:szCs w:val="16"/>
        </w:rPr>
        <w:t xml:space="preserve">SECTION 1</w:t>
      </w:r>
    </w:p>
    <w:p>
      <w:pPr>
        <w:pStyle w:val="Heading1"/>
        <w:spacing w:after="160" w:before="280"/>
      </w:pPr>
      <w:r>
        <w:rPr>
          <w:rFonts w:ascii="Garamond" w:cs="Garamond" w:eastAsia="Garamond" w:hAnsi="Garamond"/>
          <w:b/>
          <w:bCs/>
          <w:color w:val="173F35"/>
          <w:sz w:val="40"/>
          <w:szCs w:val="40"/>
        </w:rPr>
        <w:t xml:space="preserve">Project Information</w:t>
      </w:r>
    </w:p>
    <w:p>
      <w:pPr>
        <w:pBdr>
          <w:bottom w:val="single" w:color="C9A24A" w:sz="8" w:space="1"/>
        </w:pBdr>
        <w:spacing w:after="120" w:before="80"/>
      </w:pPr>
      <w:r>
        <w:t xml:space="preserve"/>
      </w:r>
    </w:p>
    <w:p>
      <w:pPr>
        <w:spacing w:after="160" w:before="0" w:line="320"/>
        <w:jc w:val="left"/>
      </w:pPr>
      <w:r>
        <w:rPr>
          <w:rFonts w:ascii="Lato" w:cs="Lato" w:eastAsia="Lato" w:hAnsi="Lato"/>
          <w:color w:val="1A1A1A"/>
          <w:sz w:val="22"/>
          <w:szCs w:val="22"/>
        </w:rPr>
        <w:t xml:space="preserve">This Request for Proposal is issued by Tarpon Bay Condominium Association, Inc., a Florida residential condominium association governed by Chapter 718 of the Florida Statutes, for a twelve-month commercial pool and spa service contract beginning January 1, 2027.</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Issuing Association</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Tarpon Bay Condominium Association, Inc.</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Property Address</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1820 Tarpon Bay Drive, Naples, Florida 34104</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State of Operation</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Florida</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Service Category</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Commercial Swimming Pool &amp; Spa Service</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RFP Reference #</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2026-08-POOL</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Performance Period</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January 1, 2027  through  December 31, 2027</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Term Type</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12-month, with two (2) one-year renewal options at the Association’s sole discretion</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Primary Point of Contact</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Marcus Hill, Association Manager</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Email</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rfp@tarponbay-condo.example</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Phone</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(239) 555-0184</w:t>
            </w:r>
          </w:p>
        </w:tc>
      </w:tr>
    </w:tbl>
    <w:p>
      <w:r>
        <w:br w:type="page"/>
      </w:r>
    </w:p>
    <w:p>
      <w:pPr>
        <w:spacing w:after="60" w:before="0"/>
      </w:pPr>
      <w:r>
        <w:rPr>
          <w:rFonts w:ascii="Lato" w:cs="Lato" w:eastAsia="Lato" w:hAnsi="Lato"/>
          <w:b/>
          <w:bCs/>
          <w:color w:val="C9A24A"/>
          <w:spacing w:val="100"/>
          <w:sz w:val="16"/>
          <w:szCs w:val="16"/>
        </w:rPr>
        <w:t xml:space="preserve">SECTION 2</w:t>
      </w:r>
    </w:p>
    <w:p>
      <w:pPr>
        <w:pStyle w:val="Heading1"/>
        <w:spacing w:after="160" w:before="280"/>
      </w:pPr>
      <w:r>
        <w:rPr>
          <w:rFonts w:ascii="Garamond" w:cs="Garamond" w:eastAsia="Garamond" w:hAnsi="Garamond"/>
          <w:b/>
          <w:bCs/>
          <w:color w:val="173F35"/>
          <w:sz w:val="40"/>
          <w:szCs w:val="40"/>
        </w:rPr>
        <w:t xml:space="preserve">Schedule of Milestones</w:t>
      </w:r>
    </w:p>
    <w:p>
      <w:pPr>
        <w:pBdr>
          <w:bottom w:val="single" w:color="C9A24A" w:sz="8" w:space="1"/>
        </w:pBdr>
        <w:spacing w:after="120" w:before="80"/>
      </w:pPr>
      <w:r>
        <w:t xml:space="preserve"/>
      </w:r>
    </w:p>
    <w:p>
      <w:pPr>
        <w:spacing w:after="160" w:before="0" w:line="300"/>
        <w:jc w:val="left"/>
      </w:pPr>
      <w:r>
        <w:rPr>
          <w:rFonts w:ascii="Lato" w:cs="Lato" w:eastAsia="Lato" w:hAnsi="Lato"/>
          <w:color w:val="1A1A1A"/>
          <w:sz w:val="22"/>
          <w:szCs w:val="22"/>
        </w:rPr>
        <w:t xml:space="preserve">All times are local time at the property.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400"/>
        <w:gridCol w:w="3960"/>
      </w:tblGrid>
      <w:tr>
        <w:trPr>
          <w:tblHeader/>
        </w:trPr>
        <w:tc>
          <w:tcPr>
            <w:tcW w:type="dxa" w:w="5400"/>
            <w:tcBorders>
              <w:top w:val="single" w:color="173F35" w:sz="4"/>
              <w:left w:val="single" w:color="173F35" w:sz="4"/>
              <w:bottom w:val="single" w:color="173F35" w:sz="4"/>
              <w:right w:val="single" w:color="173F35" w:sz="4"/>
            </w:tcBorders>
            <w:shd w:fill="173F35" w:color="auto" w:val="clear"/>
            <w:tcMar>
              <w:top w:type="dxa" w:w="120"/>
              <w:left w:type="dxa" w:w="160"/>
              <w:bottom w:type="dxa" w:w="120"/>
              <w:right w:type="dxa" w:w="160"/>
            </w:tcMar>
          </w:tcPr>
          <w:p>
            <w:pPr>
              <w:spacing w:after="0" w:before="0" w:line="300"/>
              <w:jc w:val="left"/>
            </w:pPr>
            <w:r>
              <w:rPr>
                <w:rFonts w:ascii="Lato" w:cs="Lato" w:eastAsia="Lato" w:hAnsi="Lato"/>
                <w:b/>
                <w:bCs/>
                <w:color w:val="FFFFFF"/>
                <w:sz w:val="16"/>
                <w:szCs w:val="16"/>
              </w:rPr>
              <w:t xml:space="preserve">MILESTONE</w:t>
            </w:r>
          </w:p>
        </w:tc>
        <w:tc>
          <w:tcPr>
            <w:tcW w:type="dxa" w:w="3960"/>
            <w:tcBorders>
              <w:top w:val="single" w:color="173F35" w:sz="4"/>
              <w:left w:val="single" w:color="173F35" w:sz="4"/>
              <w:bottom w:val="single" w:color="173F35" w:sz="4"/>
              <w:right w:val="single" w:color="173F35" w:sz="4"/>
            </w:tcBorders>
            <w:shd w:fill="173F35" w:color="auto" w:val="clear"/>
            <w:tcMar>
              <w:top w:type="dxa" w:w="120"/>
              <w:left w:type="dxa" w:w="160"/>
              <w:bottom w:type="dxa" w:w="120"/>
              <w:right w:type="dxa" w:w="160"/>
            </w:tcMar>
          </w:tcPr>
          <w:p>
            <w:pPr>
              <w:spacing w:after="0" w:before="0" w:line="300"/>
              <w:jc w:val="left"/>
            </w:pPr>
            <w:r>
              <w:rPr>
                <w:rFonts w:ascii="Lato" w:cs="Lato" w:eastAsia="Lato" w:hAnsi="Lato"/>
                <w:b/>
                <w:bCs/>
                <w:color w:val="FFFFFF"/>
                <w:sz w:val="16"/>
                <w:szCs w:val="16"/>
              </w:rPr>
              <w:t xml:space="preserve">DATE / TIME</w:t>
            </w:r>
          </w:p>
        </w:tc>
      </w:tr>
      <w:tr>
        <w:tc>
          <w:tcPr>
            <w:tcW w:type="dxa" w:w="5400"/>
            <w:tcBorders>
              <w:top w:val="single" w:color="BFBFBF" w:sz="4"/>
              <w:left w:val="single" w:color="BFBFBF" w:sz="4"/>
              <w:bottom w:val="single" w:color="BFBFBF" w:sz="4"/>
              <w:right w:val="single" w:color="BFBFBF" w:sz="4"/>
            </w:tcBorders>
            <w:shd w:fill="F7F1DF" w:color="auto" w:val="clear"/>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RFP released</w:t>
            </w:r>
          </w:p>
        </w:tc>
        <w:tc>
          <w:tcPr>
            <w:tcW w:type="dxa" w:w="3960"/>
            <w:tcBorders>
              <w:top w:val="single" w:color="BFBFBF" w:sz="4"/>
              <w:left w:val="single" w:color="BFBFBF" w:sz="4"/>
              <w:bottom w:val="single" w:color="BFBFBF" w:sz="4"/>
              <w:right w:val="single" w:color="BFBFBF" w:sz="4"/>
            </w:tcBorders>
            <w:shd w:fill="F7F1DF"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August 28, 2026</w:t>
            </w:r>
          </w:p>
        </w:tc>
      </w:tr>
      <w:tr>
        <w:tc>
          <w:tcPr>
            <w:tcW w:type="dxa" w:w="5400"/>
            <w:tcBorders>
              <w:top w:val="single" w:color="BFBFBF" w:sz="4"/>
              <w:left w:val="single" w:color="BFBFBF" w:sz="4"/>
              <w:bottom w:val="single" w:color="BFBFBF" w:sz="4"/>
              <w:right w:val="single" w:color="BFBFBF"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Mandatory pre-proposal site visit</w:t>
            </w:r>
          </w:p>
        </w:tc>
        <w:tc>
          <w:tcPr>
            <w:tcW w:type="dxa" w:w="3960"/>
            <w:tcBorders>
              <w:top w:val="single" w:color="BFBFBF" w:sz="4"/>
              <w:left w:val="single" w:color="BFBFBF" w:sz="4"/>
              <w:bottom w:val="single" w:color="BFBFBF" w:sz="4"/>
              <w:right w:val="single" w:color="BFBFBF" w:sz="4"/>
            </w:tcBorders>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September 11, 2026  •  10:00 AM  •  Pool Deck</w:t>
            </w:r>
          </w:p>
        </w:tc>
      </w:tr>
      <w:tr>
        <w:tc>
          <w:tcPr>
            <w:tcW w:type="dxa" w:w="5400"/>
            <w:tcBorders>
              <w:top w:val="single" w:color="BFBFBF" w:sz="4"/>
              <w:left w:val="single" w:color="BFBFBF" w:sz="4"/>
              <w:bottom w:val="single" w:color="BFBFBF" w:sz="4"/>
              <w:right w:val="single" w:color="BFBFBF" w:sz="4"/>
            </w:tcBorders>
            <w:shd w:fill="F7F1DF" w:color="auto" w:val="clear"/>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Bidder questions due</w:t>
            </w:r>
          </w:p>
        </w:tc>
        <w:tc>
          <w:tcPr>
            <w:tcW w:type="dxa" w:w="3960"/>
            <w:tcBorders>
              <w:top w:val="single" w:color="BFBFBF" w:sz="4"/>
              <w:left w:val="single" w:color="BFBFBF" w:sz="4"/>
              <w:bottom w:val="single" w:color="BFBFBF" w:sz="4"/>
              <w:right w:val="single" w:color="BFBFBF" w:sz="4"/>
            </w:tcBorders>
            <w:shd w:fill="F7F1DF"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September 17, 2026  •  5:00 PM</w:t>
            </w:r>
          </w:p>
        </w:tc>
      </w:tr>
      <w:tr>
        <w:tc>
          <w:tcPr>
            <w:tcW w:type="dxa" w:w="5400"/>
            <w:tcBorders>
              <w:top w:val="single" w:color="BFBFBF" w:sz="4"/>
              <w:left w:val="single" w:color="BFBFBF" w:sz="4"/>
              <w:bottom w:val="single" w:color="BFBFBF" w:sz="4"/>
              <w:right w:val="single" w:color="BFBFBF"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Association responses to questions</w:t>
            </w:r>
          </w:p>
        </w:tc>
        <w:tc>
          <w:tcPr>
            <w:tcW w:type="dxa" w:w="3960"/>
            <w:tcBorders>
              <w:top w:val="single" w:color="BFBFBF" w:sz="4"/>
              <w:left w:val="single" w:color="BFBFBF" w:sz="4"/>
              <w:bottom w:val="single" w:color="BFBFBF" w:sz="4"/>
              <w:right w:val="single" w:color="BFBFBF" w:sz="4"/>
            </w:tcBorders>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September 22, 2026</w:t>
            </w:r>
          </w:p>
        </w:tc>
      </w:tr>
      <w:tr>
        <w:tc>
          <w:tcPr>
            <w:tcW w:type="dxa" w:w="5400"/>
            <w:tcBorders>
              <w:top w:val="single" w:color="BFBFBF" w:sz="4"/>
              <w:left w:val="single" w:color="BFBFBF" w:sz="4"/>
              <w:bottom w:val="single" w:color="BFBFBF" w:sz="4"/>
              <w:right w:val="single" w:color="BFBFBF" w:sz="4"/>
            </w:tcBorders>
            <w:shd w:fill="F7F1DF" w:color="auto" w:val="clear"/>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Proposals due (sealed, by email)</w:t>
            </w:r>
          </w:p>
        </w:tc>
        <w:tc>
          <w:tcPr>
            <w:tcW w:type="dxa" w:w="3960"/>
            <w:tcBorders>
              <w:top w:val="single" w:color="BFBFBF" w:sz="4"/>
              <w:left w:val="single" w:color="BFBFBF" w:sz="4"/>
              <w:bottom w:val="single" w:color="BFBFBF" w:sz="4"/>
              <w:right w:val="single" w:color="BFBFBF" w:sz="4"/>
            </w:tcBorders>
            <w:shd w:fill="F7F1DF"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October 2, 2026  •  5:00 PM</w:t>
            </w:r>
          </w:p>
        </w:tc>
      </w:tr>
      <w:tr>
        <w:tc>
          <w:tcPr>
            <w:tcW w:type="dxa" w:w="5400"/>
            <w:tcBorders>
              <w:top w:val="single" w:color="BFBFBF" w:sz="4"/>
              <w:left w:val="single" w:color="BFBFBF" w:sz="4"/>
              <w:bottom w:val="single" w:color="BFBFBF" w:sz="4"/>
              <w:right w:val="single" w:color="BFBFBF"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Evaluation period</w:t>
            </w:r>
          </w:p>
        </w:tc>
        <w:tc>
          <w:tcPr>
            <w:tcW w:type="dxa" w:w="3960"/>
            <w:tcBorders>
              <w:top w:val="single" w:color="BFBFBF" w:sz="4"/>
              <w:left w:val="single" w:color="BFBFBF" w:sz="4"/>
              <w:bottom w:val="single" w:color="BFBFBF" w:sz="4"/>
              <w:right w:val="single" w:color="BFBFBF" w:sz="4"/>
            </w:tcBorders>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October 5 – 14, 2026</w:t>
            </w:r>
          </w:p>
        </w:tc>
      </w:tr>
      <w:tr>
        <w:tc>
          <w:tcPr>
            <w:tcW w:type="dxa" w:w="5400"/>
            <w:tcBorders>
              <w:top w:val="single" w:color="BFBFBF" w:sz="4"/>
              <w:left w:val="single" w:color="BFBFBF" w:sz="4"/>
              <w:bottom w:val="single" w:color="BFBFBF" w:sz="4"/>
              <w:right w:val="single" w:color="BFBFBF" w:sz="4"/>
            </w:tcBorders>
            <w:shd w:fill="F7F1DF" w:color="auto" w:val="clear"/>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Vendor follow-up clarifications</w:t>
            </w:r>
          </w:p>
        </w:tc>
        <w:tc>
          <w:tcPr>
            <w:tcW w:type="dxa" w:w="3960"/>
            <w:tcBorders>
              <w:top w:val="single" w:color="BFBFBF" w:sz="4"/>
              <w:left w:val="single" w:color="BFBFBF" w:sz="4"/>
              <w:bottom w:val="single" w:color="BFBFBF" w:sz="4"/>
              <w:right w:val="single" w:color="BFBFBF" w:sz="4"/>
            </w:tcBorders>
            <w:shd w:fill="F7F1DF"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October 15 – 20, 2026</w:t>
            </w:r>
          </w:p>
        </w:tc>
      </w:tr>
      <w:tr>
        <w:tc>
          <w:tcPr>
            <w:tcW w:type="dxa" w:w="5400"/>
            <w:tcBorders>
              <w:top w:val="single" w:color="BFBFBF" w:sz="4"/>
              <w:left w:val="single" w:color="BFBFBF" w:sz="4"/>
              <w:bottom w:val="single" w:color="BFBFBF" w:sz="4"/>
              <w:right w:val="single" w:color="BFBFBF"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Notice of Intent to Award</w:t>
            </w:r>
          </w:p>
        </w:tc>
        <w:tc>
          <w:tcPr>
            <w:tcW w:type="dxa" w:w="3960"/>
            <w:tcBorders>
              <w:top w:val="single" w:color="BFBFBF" w:sz="4"/>
              <w:left w:val="single" w:color="BFBFBF" w:sz="4"/>
              <w:bottom w:val="single" w:color="BFBFBF" w:sz="4"/>
              <w:right w:val="single" w:color="BFBFBF" w:sz="4"/>
            </w:tcBorders>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October 27, 2026</w:t>
            </w:r>
          </w:p>
        </w:tc>
      </w:tr>
      <w:tr>
        <w:tc>
          <w:tcPr>
            <w:tcW w:type="dxa" w:w="5400"/>
            <w:tcBorders>
              <w:top w:val="single" w:color="BFBFBF" w:sz="4"/>
              <w:left w:val="single" w:color="BFBFBF" w:sz="4"/>
              <w:bottom w:val="single" w:color="BFBFBF" w:sz="4"/>
              <w:right w:val="single" w:color="BFBFBF" w:sz="4"/>
            </w:tcBorders>
            <w:shd w:fill="F7F1DF" w:color="auto" w:val="clear"/>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Contract negotiation period</w:t>
            </w:r>
          </w:p>
        </w:tc>
        <w:tc>
          <w:tcPr>
            <w:tcW w:type="dxa" w:w="3960"/>
            <w:tcBorders>
              <w:top w:val="single" w:color="BFBFBF" w:sz="4"/>
              <w:left w:val="single" w:color="BFBFBF" w:sz="4"/>
              <w:bottom w:val="single" w:color="BFBFBF" w:sz="4"/>
              <w:right w:val="single" w:color="BFBFBF" w:sz="4"/>
            </w:tcBorders>
            <w:shd w:fill="F7F1DF"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October 28 – November 11, 2026</w:t>
            </w:r>
          </w:p>
        </w:tc>
      </w:tr>
      <w:tr>
        <w:tc>
          <w:tcPr>
            <w:tcW w:type="dxa" w:w="5400"/>
            <w:tcBorders>
              <w:top w:val="single" w:color="BFBFBF" w:sz="4"/>
              <w:left w:val="single" w:color="BFBFBF" w:sz="4"/>
              <w:bottom w:val="single" w:color="BFBFBF" w:sz="4"/>
              <w:right w:val="single" w:color="BFBFBF"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Contract start (Performance Period)</w:t>
            </w:r>
          </w:p>
        </w:tc>
        <w:tc>
          <w:tcPr>
            <w:tcW w:type="dxa" w:w="3960"/>
            <w:tcBorders>
              <w:top w:val="single" w:color="BFBFBF" w:sz="4"/>
              <w:left w:val="single" w:color="BFBFBF" w:sz="4"/>
              <w:bottom w:val="single" w:color="BFBFBF" w:sz="4"/>
              <w:right w:val="single" w:color="BFBFBF" w:sz="4"/>
            </w:tcBorders>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January 1, 2027</w:t>
            </w:r>
          </w:p>
        </w:tc>
      </w:tr>
    </w:tbl>
    <w:p>
      <w:r>
        <w:br w:type="page"/>
      </w:r>
    </w:p>
    <w:p>
      <w:pPr>
        <w:spacing w:after="60" w:before="0"/>
      </w:pPr>
      <w:r>
        <w:rPr>
          <w:rFonts w:ascii="Lato" w:cs="Lato" w:eastAsia="Lato" w:hAnsi="Lato"/>
          <w:b/>
          <w:bCs/>
          <w:color w:val="C9A24A"/>
          <w:spacing w:val="100"/>
          <w:sz w:val="16"/>
          <w:szCs w:val="16"/>
        </w:rPr>
        <w:t xml:space="preserve">SECTION 3</w:t>
      </w:r>
    </w:p>
    <w:p>
      <w:pPr>
        <w:pStyle w:val="Heading1"/>
        <w:spacing w:after="160" w:before="280"/>
      </w:pPr>
      <w:r>
        <w:rPr>
          <w:rFonts w:ascii="Garamond" w:cs="Garamond" w:eastAsia="Garamond" w:hAnsi="Garamond"/>
          <w:b/>
          <w:bCs/>
          <w:color w:val="173F35"/>
          <w:sz w:val="40"/>
          <w:szCs w:val="40"/>
        </w:rPr>
        <w:t xml:space="preserve">Statement of Work</w:t>
      </w:r>
    </w:p>
    <w:p>
      <w:pPr>
        <w:pBdr>
          <w:bottom w:val="single" w:color="C9A24A" w:sz="8" w:space="1"/>
        </w:pBdr>
        <w:spacing w:after="120" w:before="80"/>
      </w:pPr>
      <w:r>
        <w:t xml:space="preserve"/>
      </w:r>
    </w:p>
    <w:p>
      <w:pPr>
        <w:pStyle w:val="Heading3"/>
        <w:spacing w:after="160" w:before="280"/>
      </w:pPr>
      <w:r>
        <w:rPr>
          <w:rFonts w:ascii="Garamond" w:cs="Garamond" w:eastAsia="Garamond" w:hAnsi="Garamond"/>
          <w:b/>
          <w:bCs/>
          <w:color w:val="173F35"/>
          <w:sz w:val="26"/>
          <w:szCs w:val="26"/>
        </w:rPr>
        <w:t xml:space="preserve">3.1  Pool &amp; Equipment Description</w:t>
      </w:r>
    </w:p>
    <w:p>
      <w:pPr>
        <w:pStyle w:val="ListParagraph"/>
        <w:numPr>
          <w:ilvl w:val="0"/>
          <w:numId w:val="2"/>
        </w:numPr>
        <w:spacing w:after="60" w:before="40" w:line="290"/>
      </w:pPr>
      <w:r>
        <w:rPr>
          <w:rFonts w:ascii="Lato" w:cs="Lato" w:eastAsia="Lato" w:hAnsi="Lato"/>
          <w:color w:val="1A1A1A"/>
          <w:sz w:val="22"/>
          <w:szCs w:val="22"/>
        </w:rPr>
        <w:t xml:space="preserve">Outdoor heated commercial pool: approximately 7,500 gallons; gunite finish; 4-foot depth, 32 ft. x 16 ft.; one in-floor cleaning system; one variable-speed pump; cartridge filtration; UV / mineral sanitization plus chlorine residual.</w:t>
      </w:r>
    </w:p>
    <w:p>
      <w:pPr>
        <w:pStyle w:val="ListParagraph"/>
        <w:numPr>
          <w:ilvl w:val="0"/>
          <w:numId w:val="2"/>
        </w:numPr>
        <w:spacing w:after="60" w:before="40" w:line="290"/>
      </w:pPr>
      <w:r>
        <w:rPr>
          <w:rFonts w:ascii="Lato" w:cs="Lato" w:eastAsia="Lato" w:hAnsi="Lato"/>
          <w:color w:val="1A1A1A"/>
          <w:sz w:val="22"/>
          <w:szCs w:val="22"/>
        </w:rPr>
        <w:t xml:space="preserve">Outdoor heated spa: approximately 600 gallons; gunite; eight (8) jets; separate variable-speed pump; cartridge filtration; chlorine residual.</w:t>
      </w:r>
    </w:p>
    <w:p>
      <w:pPr>
        <w:pStyle w:val="ListParagraph"/>
        <w:numPr>
          <w:ilvl w:val="0"/>
          <w:numId w:val="2"/>
        </w:numPr>
        <w:spacing w:after="60" w:before="40" w:line="290"/>
      </w:pPr>
      <w:r>
        <w:rPr>
          <w:rFonts w:ascii="Lato" w:cs="Lato" w:eastAsia="Lato" w:hAnsi="Lato"/>
          <w:color w:val="1A1A1A"/>
          <w:sz w:val="22"/>
          <w:szCs w:val="22"/>
        </w:rPr>
        <w:t xml:space="preserve">Equipment room enclosed, key-coded, separate water meter; chemical storage room with eyewash station and SDS binder.</w:t>
      </w:r>
    </w:p>
    <w:p>
      <w:pPr>
        <w:pStyle w:val="ListParagraph"/>
        <w:numPr>
          <w:ilvl w:val="0"/>
          <w:numId w:val="2"/>
        </w:numPr>
        <w:spacing w:after="60" w:before="40" w:line="290"/>
      </w:pPr>
      <w:r>
        <w:rPr>
          <w:rFonts w:ascii="Lato" w:cs="Lato" w:eastAsia="Lato" w:hAnsi="Lato"/>
          <w:color w:val="1A1A1A"/>
          <w:sz w:val="22"/>
          <w:szCs w:val="22"/>
        </w:rPr>
        <w:t xml:space="preserve">Pool deck approximately 3,800 sq. ft., concrete cool-deck finish, four (4) safety equipment stations, one (1) emergency phone, ADA-compliant lift.</w:t>
      </w:r>
    </w:p>
    <w:p>
      <w:pPr>
        <w:pStyle w:val="ListParagraph"/>
        <w:numPr>
          <w:ilvl w:val="0"/>
          <w:numId w:val="2"/>
        </w:numPr>
        <w:spacing w:after="60" w:before="40" w:line="290"/>
      </w:pPr>
      <w:r>
        <w:rPr>
          <w:rFonts w:ascii="Lato" w:cs="Lato" w:eastAsia="Lato" w:hAnsi="Lato"/>
          <w:color w:val="1A1A1A"/>
          <w:sz w:val="22"/>
          <w:szCs w:val="22"/>
        </w:rPr>
        <w:t xml:space="preserve">Florida-licensed pool service contractor required for all chemical and mechanical work (FL DBPR Commercial Pool Servicing Contractor licensure or equivalent recognized category).</w:t>
      </w:r>
    </w:p>
    <w:p>
      <w:pPr>
        <w:pStyle w:val="Heading3"/>
        <w:spacing w:after="160" w:before="280"/>
      </w:pPr>
      <w:r>
        <w:rPr>
          <w:rFonts w:ascii="Garamond" w:cs="Garamond" w:eastAsia="Garamond" w:hAnsi="Garamond"/>
          <w:b/>
          <w:bCs/>
          <w:color w:val="173F35"/>
          <w:sz w:val="26"/>
          <w:szCs w:val="26"/>
        </w:rPr>
        <w:t xml:space="preserve">3.2  Recurring Services Included</w:t>
      </w:r>
    </w:p>
    <w:p>
      <w:pPr>
        <w:pStyle w:val="ListParagraph"/>
        <w:numPr>
          <w:ilvl w:val="0"/>
          <w:numId w:val="2"/>
        </w:numPr>
        <w:spacing w:after="60" w:before="40" w:line="290"/>
      </w:pPr>
      <w:r>
        <w:rPr>
          <w:rFonts w:ascii="Lato" w:cs="Lato" w:eastAsia="Lato" w:hAnsi="Lato"/>
          <w:color w:val="1A1A1A"/>
          <w:sz w:val="22"/>
          <w:szCs w:val="22"/>
        </w:rPr>
        <w:t xml:space="preserve">Three (3) service visits per week, all chemical, mechanical, and aesthetic items required for compliance with Fla. Admin. Code Ch. 64E-9 (Public Swimming Pools and Bathing Places). Service log left on-site after each visit.</w:t>
      </w:r>
    </w:p>
    <w:p>
      <w:pPr>
        <w:pStyle w:val="ListParagraph"/>
        <w:numPr>
          <w:ilvl w:val="0"/>
          <w:numId w:val="2"/>
        </w:numPr>
        <w:spacing w:after="60" w:before="40" w:line="290"/>
      </w:pPr>
      <w:r>
        <w:rPr>
          <w:rFonts w:ascii="Lato" w:cs="Lato" w:eastAsia="Lato" w:hAnsi="Lato"/>
          <w:color w:val="1A1A1A"/>
          <w:sz w:val="22"/>
          <w:szCs w:val="22"/>
        </w:rPr>
        <w:t xml:space="preserve">Daily on-site water-clarity walkthrough by Association staff is performed; vendor’s recurring scope is the three weekly chemical / mechanical visits described above.</w:t>
      </w:r>
    </w:p>
    <w:p>
      <w:pPr>
        <w:pStyle w:val="ListParagraph"/>
        <w:numPr>
          <w:ilvl w:val="0"/>
          <w:numId w:val="2"/>
        </w:numPr>
        <w:spacing w:after="60" w:before="40" w:line="290"/>
      </w:pPr>
      <w:r>
        <w:rPr>
          <w:rFonts w:ascii="Lato" w:cs="Lato" w:eastAsia="Lato" w:hAnsi="Lato"/>
          <w:color w:val="1A1A1A"/>
          <w:sz w:val="22"/>
          <w:szCs w:val="22"/>
        </w:rPr>
        <w:t xml:space="preserve">Water testing — total chlorine, free chlorine, combined chlorine, pH, total alkalinity, calcium hardness, cyanuric acid, and saturation index — at every visit; results recorded in the on-site log and shared monthly with the Manager.</w:t>
      </w:r>
    </w:p>
    <w:p>
      <w:pPr>
        <w:pStyle w:val="ListParagraph"/>
        <w:numPr>
          <w:ilvl w:val="0"/>
          <w:numId w:val="2"/>
        </w:numPr>
        <w:spacing w:after="60" w:before="40" w:line="290"/>
      </w:pPr>
      <w:r>
        <w:rPr>
          <w:rFonts w:ascii="Lato" w:cs="Lato" w:eastAsia="Lato" w:hAnsi="Lato"/>
          <w:color w:val="1A1A1A"/>
          <w:sz w:val="22"/>
          <w:szCs w:val="22"/>
        </w:rPr>
        <w:t xml:space="preserve">Chemical balance and adjustment — chlorine, pH, alkalinity, calcium hardness, cyanuric acid, and stabilizers — to maintain levels within the ranges required by Fla. Admin. Code Ch. 64E-9 and manufacturer specifications.</w:t>
      </w:r>
    </w:p>
    <w:p>
      <w:pPr>
        <w:pStyle w:val="ListParagraph"/>
        <w:numPr>
          <w:ilvl w:val="0"/>
          <w:numId w:val="2"/>
        </w:numPr>
        <w:spacing w:after="60" w:before="40" w:line="290"/>
      </w:pPr>
      <w:r>
        <w:rPr>
          <w:rFonts w:ascii="Lato" w:cs="Lato" w:eastAsia="Lato" w:hAnsi="Lato"/>
          <w:color w:val="1A1A1A"/>
          <w:sz w:val="22"/>
          <w:szCs w:val="22"/>
        </w:rPr>
        <w:t xml:space="preserve">Mechanical inspection at every visit — pumps, valves, filtration system, heater, controller, chemical feeders, automation; minor adjustments included.</w:t>
      </w:r>
    </w:p>
    <w:p>
      <w:pPr>
        <w:pStyle w:val="ListParagraph"/>
        <w:numPr>
          <w:ilvl w:val="0"/>
          <w:numId w:val="2"/>
        </w:numPr>
        <w:spacing w:after="60" w:before="40" w:line="290"/>
      </w:pPr>
      <w:r>
        <w:rPr>
          <w:rFonts w:ascii="Lato" w:cs="Lato" w:eastAsia="Lato" w:hAnsi="Lato"/>
          <w:color w:val="1A1A1A"/>
          <w:sz w:val="22"/>
          <w:szCs w:val="22"/>
        </w:rPr>
        <w:t xml:space="preserve">Vacuum, brush, and skim of pool and spa shells and waterlines at every visit.</w:t>
      </w:r>
    </w:p>
    <w:p>
      <w:pPr>
        <w:pStyle w:val="ListParagraph"/>
        <w:numPr>
          <w:ilvl w:val="0"/>
          <w:numId w:val="2"/>
        </w:numPr>
        <w:spacing w:after="60" w:before="40" w:line="290"/>
      </w:pPr>
      <w:r>
        <w:rPr>
          <w:rFonts w:ascii="Lato" w:cs="Lato" w:eastAsia="Lato" w:hAnsi="Lato"/>
          <w:color w:val="1A1A1A"/>
          <w:sz w:val="22"/>
          <w:szCs w:val="22"/>
        </w:rPr>
        <w:t xml:space="preserve">Cartridge filter clean — quarterly; deep-clean and replacement evaluation annually (cartridge replacement cost passed through at the markup quoted on the Bid Sheet, with prior approval).</w:t>
      </w:r>
    </w:p>
    <w:p>
      <w:pPr>
        <w:pStyle w:val="ListParagraph"/>
        <w:numPr>
          <w:ilvl w:val="0"/>
          <w:numId w:val="2"/>
        </w:numPr>
        <w:spacing w:after="60" w:before="40" w:line="290"/>
      </w:pPr>
      <w:r>
        <w:rPr>
          <w:rFonts w:ascii="Lato" w:cs="Lato" w:eastAsia="Lato" w:hAnsi="Lato"/>
          <w:color w:val="1A1A1A"/>
          <w:sz w:val="22"/>
          <w:szCs w:val="22"/>
        </w:rPr>
        <w:t xml:space="preserve">Chemical inventory — vendor-supplied, on-site, secured to MSDS / SDS standards; included in the monthly fee at the chemistry levels specified above.</w:t>
      </w:r>
    </w:p>
    <w:p>
      <w:pPr>
        <w:pStyle w:val="ListParagraph"/>
        <w:numPr>
          <w:ilvl w:val="0"/>
          <w:numId w:val="2"/>
        </w:numPr>
        <w:spacing w:after="60" w:before="40" w:line="290"/>
      </w:pPr>
      <w:r>
        <w:rPr>
          <w:rFonts w:ascii="Lato" w:cs="Lato" w:eastAsia="Lato" w:hAnsi="Lato"/>
          <w:color w:val="1A1A1A"/>
          <w:sz w:val="22"/>
          <w:szCs w:val="22"/>
        </w:rPr>
        <w:t xml:space="preserve">State / county health-department inspection support — vendor provides on-site representative or written remediation plan within 48 hours of any noted deficiency.</w:t>
      </w:r>
    </w:p>
    <w:p>
      <w:pPr>
        <w:pStyle w:val="ListParagraph"/>
        <w:numPr>
          <w:ilvl w:val="0"/>
          <w:numId w:val="2"/>
        </w:numPr>
        <w:spacing w:after="60" w:before="40" w:line="290"/>
      </w:pPr>
      <w:r>
        <w:rPr>
          <w:rFonts w:ascii="Lato" w:cs="Lato" w:eastAsia="Lato" w:hAnsi="Lato"/>
          <w:color w:val="1A1A1A"/>
          <w:sz w:val="22"/>
          <w:szCs w:val="22"/>
        </w:rPr>
        <w:t xml:space="preserve">Weather response — pool and spa secured (covers, chemical adjustment, equipment shutdown / restart) for tropical storm or hurricane events; equipment-room shutdown checklist to be on file with the Manager.</w:t>
      </w:r>
    </w:p>
    <w:p>
      <w:pPr>
        <w:pStyle w:val="Heading3"/>
        <w:spacing w:after="160" w:before="280"/>
      </w:pPr>
      <w:r>
        <w:rPr>
          <w:rFonts w:ascii="Garamond" w:cs="Garamond" w:eastAsia="Garamond" w:hAnsi="Garamond"/>
          <w:b/>
          <w:bCs/>
          <w:color w:val="173F35"/>
          <w:sz w:val="26"/>
          <w:szCs w:val="26"/>
        </w:rPr>
        <w:t xml:space="preserve">3.3  Services Excluded (As-Needed or Separate)</w:t>
      </w:r>
    </w:p>
    <w:p>
      <w:pPr>
        <w:pStyle w:val="ListParagraph"/>
        <w:numPr>
          <w:ilvl w:val="0"/>
          <w:numId w:val="2"/>
        </w:numPr>
        <w:spacing w:after="60" w:before="40" w:line="290"/>
      </w:pPr>
      <w:r>
        <w:rPr>
          <w:rFonts w:ascii="Lato" w:cs="Lato" w:eastAsia="Lato" w:hAnsi="Lato"/>
          <w:color w:val="1A1A1A"/>
          <w:sz w:val="22"/>
          <w:szCs w:val="22"/>
        </w:rPr>
        <w:t xml:space="preserve">Major equipment repair or replacement (pump, heater, filter housing, controller, salt cell, automation upgrades) — billed under approved work order at the labor rate plus materials at the markup quoted.</w:t>
      </w:r>
    </w:p>
    <w:p>
      <w:pPr>
        <w:pStyle w:val="ListParagraph"/>
        <w:numPr>
          <w:ilvl w:val="0"/>
          <w:numId w:val="2"/>
        </w:numPr>
        <w:spacing w:after="60" w:before="40" w:line="290"/>
      </w:pPr>
      <w:r>
        <w:rPr>
          <w:rFonts w:ascii="Lato" w:cs="Lato" w:eastAsia="Lato" w:hAnsi="Lato"/>
          <w:color w:val="1A1A1A"/>
          <w:sz w:val="22"/>
          <w:szCs w:val="22"/>
        </w:rPr>
        <w:t xml:space="preserve">Pool resurfacing, tile repair, deck repair, expansion-joint replacement — separate scope.</w:t>
      </w:r>
    </w:p>
    <w:p>
      <w:pPr>
        <w:pStyle w:val="ListParagraph"/>
        <w:numPr>
          <w:ilvl w:val="0"/>
          <w:numId w:val="2"/>
        </w:numPr>
        <w:spacing w:after="60" w:before="40" w:line="290"/>
      </w:pPr>
      <w:r>
        <w:rPr>
          <w:rFonts w:ascii="Lato" w:cs="Lato" w:eastAsia="Lato" w:hAnsi="Lato"/>
          <w:color w:val="1A1A1A"/>
          <w:sz w:val="22"/>
          <w:szCs w:val="22"/>
        </w:rPr>
        <w:t xml:space="preserve">Drain cover (VGB compliance) replacement beyond the recurring inspection.</w:t>
      </w:r>
    </w:p>
    <w:p>
      <w:pPr>
        <w:pStyle w:val="ListParagraph"/>
        <w:numPr>
          <w:ilvl w:val="0"/>
          <w:numId w:val="2"/>
        </w:numPr>
        <w:spacing w:after="60" w:before="40" w:line="290"/>
      </w:pPr>
      <w:r>
        <w:rPr>
          <w:rFonts w:ascii="Lato" w:cs="Lato" w:eastAsia="Lato" w:hAnsi="Lato"/>
          <w:color w:val="1A1A1A"/>
          <w:sz w:val="22"/>
          <w:szCs w:val="22"/>
        </w:rPr>
        <w:t xml:space="preserve">Acid wash, drain-and-refill, chemical shock beyond ordinary chemistry adjustments — billed under approved work order.</w:t>
      </w:r>
    </w:p>
    <w:p>
      <w:pPr>
        <w:pStyle w:val="Heading3"/>
        <w:spacing w:after="160" w:before="280"/>
      </w:pPr>
      <w:r>
        <w:rPr>
          <w:rFonts w:ascii="Garamond" w:cs="Garamond" w:eastAsia="Garamond" w:hAnsi="Garamond"/>
          <w:b/>
          <w:bCs/>
          <w:color w:val="173F35"/>
          <w:sz w:val="26"/>
          <w:szCs w:val="26"/>
        </w:rPr>
        <w:t xml:space="preserve">3.4  Quality Standard</w:t>
      </w:r>
    </w:p>
    <w:p>
      <w:pPr>
        <w:pStyle w:val="ListParagraph"/>
        <w:numPr>
          <w:ilvl w:val="0"/>
          <w:numId w:val="2"/>
        </w:numPr>
        <w:spacing w:after="60" w:before="40" w:line="290"/>
      </w:pPr>
      <w:r>
        <w:rPr>
          <w:rFonts w:ascii="Lato" w:cs="Lato" w:eastAsia="Lato" w:hAnsi="Lato"/>
          <w:color w:val="1A1A1A"/>
          <w:sz w:val="22"/>
          <w:szCs w:val="22"/>
        </w:rPr>
        <w:t xml:space="preserve">Free chlorine, pH, and other chemistry within the ranges required by Fla. Admin. Code Ch. 64E-9 at all times; remediation within 24 hours of any out-of-range reading.</w:t>
      </w:r>
    </w:p>
    <w:p>
      <w:pPr>
        <w:pStyle w:val="ListParagraph"/>
        <w:numPr>
          <w:ilvl w:val="0"/>
          <w:numId w:val="2"/>
        </w:numPr>
        <w:spacing w:after="60" w:before="40" w:line="290"/>
      </w:pPr>
      <w:r>
        <w:rPr>
          <w:rFonts w:ascii="Lato" w:cs="Lato" w:eastAsia="Lato" w:hAnsi="Lato"/>
          <w:color w:val="1A1A1A"/>
          <w:sz w:val="22"/>
          <w:szCs w:val="22"/>
        </w:rPr>
        <w:t xml:space="preserve">No visible debris, biofilm, or algae on shells or waterlines at the end of any service visit.</w:t>
      </w:r>
    </w:p>
    <w:p>
      <w:pPr>
        <w:pStyle w:val="ListParagraph"/>
        <w:numPr>
          <w:ilvl w:val="0"/>
          <w:numId w:val="2"/>
        </w:numPr>
        <w:spacing w:after="60" w:before="40" w:line="290"/>
      </w:pPr>
      <w:r>
        <w:rPr>
          <w:rFonts w:ascii="Lato" w:cs="Lato" w:eastAsia="Lato" w:hAnsi="Lato"/>
          <w:color w:val="1A1A1A"/>
          <w:sz w:val="22"/>
          <w:szCs w:val="22"/>
        </w:rPr>
        <w:t xml:space="preserve">Equipment room dry, organized, SDS-current, with chemical containers labeled per OSHA HazCom standards.</w:t>
      </w:r>
    </w:p>
    <w:p>
      <w:pPr>
        <w:pStyle w:val="ListParagraph"/>
        <w:numPr>
          <w:ilvl w:val="0"/>
          <w:numId w:val="2"/>
        </w:numPr>
        <w:spacing w:after="60" w:before="40" w:line="290"/>
      </w:pPr>
      <w:r>
        <w:rPr>
          <w:rFonts w:ascii="Lato" w:cs="Lato" w:eastAsia="Lato" w:hAnsi="Lato"/>
          <w:color w:val="1A1A1A"/>
          <w:sz w:val="22"/>
          <w:szCs w:val="22"/>
        </w:rPr>
        <w:t xml:space="preserve">Service log on site current, legible, and signed by the technician at each visit.</w:t>
      </w:r>
    </w:p>
    <w:p>
      <w:pPr>
        <w:pStyle w:val="Heading3"/>
        <w:spacing w:after="160" w:before="280"/>
      </w:pPr>
      <w:r>
        <w:rPr>
          <w:rFonts w:ascii="Garamond" w:cs="Garamond" w:eastAsia="Garamond" w:hAnsi="Garamond"/>
          <w:b/>
          <w:bCs/>
          <w:color w:val="173F35"/>
          <w:sz w:val="26"/>
          <w:szCs w:val="26"/>
        </w:rPr>
        <w:t xml:space="preserve">3.5  Reporting &amp; Communication</w:t>
      </w:r>
    </w:p>
    <w:p>
      <w:pPr>
        <w:pStyle w:val="ListParagraph"/>
        <w:numPr>
          <w:ilvl w:val="0"/>
          <w:numId w:val="2"/>
        </w:numPr>
        <w:spacing w:after="60" w:before="40" w:line="290"/>
      </w:pPr>
      <w:r>
        <w:rPr>
          <w:rFonts w:ascii="Lato" w:cs="Lato" w:eastAsia="Lato" w:hAnsi="Lato"/>
          <w:color w:val="1A1A1A"/>
          <w:sz w:val="22"/>
          <w:szCs w:val="22"/>
        </w:rPr>
        <w:t xml:space="preserve">Single named Account Manager assigned to the Association for the duration of the contract.</w:t>
      </w:r>
    </w:p>
    <w:p>
      <w:pPr>
        <w:pStyle w:val="ListParagraph"/>
        <w:numPr>
          <w:ilvl w:val="0"/>
          <w:numId w:val="2"/>
        </w:numPr>
        <w:spacing w:after="60" w:before="40" w:line="290"/>
      </w:pPr>
      <w:r>
        <w:rPr>
          <w:rFonts w:ascii="Lato" w:cs="Lato" w:eastAsia="Lato" w:hAnsi="Lato"/>
          <w:color w:val="1A1A1A"/>
          <w:sz w:val="22"/>
          <w:szCs w:val="22"/>
        </w:rPr>
        <w:t xml:space="preserve">Lead Technician identified by name; English-speaking and reachable by phone during service hours.</w:t>
      </w:r>
    </w:p>
    <w:p>
      <w:pPr>
        <w:pStyle w:val="ListParagraph"/>
        <w:numPr>
          <w:ilvl w:val="0"/>
          <w:numId w:val="2"/>
        </w:numPr>
        <w:spacing w:after="60" w:before="40" w:line="290"/>
      </w:pPr>
      <w:r>
        <w:rPr>
          <w:rFonts w:ascii="Lato" w:cs="Lato" w:eastAsia="Lato" w:hAnsi="Lato"/>
          <w:color w:val="1A1A1A"/>
          <w:sz w:val="22"/>
          <w:szCs w:val="22"/>
        </w:rPr>
        <w:t xml:space="preserve">Monthly written report submitted to the Manager within five (5) business days of month-end. Report includes water-test summaries, mechanical observations, recommendations, and any deficiency photos.</w:t>
      </w:r>
    </w:p>
    <w:p>
      <w:pPr>
        <w:pStyle w:val="ListParagraph"/>
        <w:numPr>
          <w:ilvl w:val="0"/>
          <w:numId w:val="2"/>
        </w:numPr>
        <w:spacing w:after="60" w:before="40" w:line="290"/>
      </w:pPr>
      <w:r>
        <w:rPr>
          <w:rFonts w:ascii="Lato" w:cs="Lato" w:eastAsia="Lato" w:hAnsi="Lato"/>
          <w:color w:val="1A1A1A"/>
          <w:sz w:val="22"/>
          <w:szCs w:val="22"/>
        </w:rPr>
        <w:t xml:space="preserve">Quarterly walk-through with the Board pool / amenity liaison and Manager.</w:t>
      </w:r>
    </w:p>
    <w:p>
      <w:pPr>
        <w:pStyle w:val="ListParagraph"/>
        <w:numPr>
          <w:ilvl w:val="0"/>
          <w:numId w:val="2"/>
        </w:numPr>
        <w:spacing w:after="60" w:before="40" w:line="290"/>
      </w:pPr>
      <w:r>
        <w:rPr>
          <w:rFonts w:ascii="Lato" w:cs="Lato" w:eastAsia="Lato" w:hAnsi="Lato"/>
          <w:color w:val="1A1A1A"/>
          <w:sz w:val="22"/>
          <w:szCs w:val="22"/>
        </w:rPr>
        <w:t xml:space="preserve">48-hour written acknowledgment of any owner or Manager service request submitted in writing; emergency response within 4 hours of vendor notification.</w:t>
      </w:r>
    </w:p>
    <w:p>
      <w:r>
        <w:br w:type="page"/>
      </w:r>
    </w:p>
    <w:p>
      <w:pPr>
        <w:spacing w:after="60" w:before="0"/>
      </w:pPr>
      <w:r>
        <w:rPr>
          <w:rFonts w:ascii="Lato" w:cs="Lato" w:eastAsia="Lato" w:hAnsi="Lato"/>
          <w:b/>
          <w:bCs/>
          <w:color w:val="C9A24A"/>
          <w:spacing w:val="100"/>
          <w:sz w:val="16"/>
          <w:szCs w:val="16"/>
        </w:rPr>
        <w:t xml:space="preserve">SECTION 4</w:t>
      </w:r>
    </w:p>
    <w:p>
      <w:pPr>
        <w:pStyle w:val="Heading1"/>
        <w:spacing w:after="160" w:before="280"/>
      </w:pPr>
      <w:r>
        <w:rPr>
          <w:rFonts w:ascii="Garamond" w:cs="Garamond" w:eastAsia="Garamond" w:hAnsi="Garamond"/>
          <w:b/>
          <w:bCs/>
          <w:color w:val="173F35"/>
          <w:sz w:val="40"/>
          <w:szCs w:val="40"/>
        </w:rPr>
        <w:t xml:space="preserve">Instructions to Proposers</w:t>
      </w:r>
    </w:p>
    <w:p>
      <w:pPr>
        <w:pBdr>
          <w:bottom w:val="single" w:color="C9A24A" w:sz="8" w:space="1"/>
        </w:pBdr>
        <w:spacing w:after="120" w:before="80"/>
      </w:pPr>
      <w:r>
        <w:t xml:space="preserve"/>
      </w:r>
    </w:p>
    <w:p>
      <w:pPr>
        <w:pStyle w:val="Heading3"/>
        <w:spacing w:after="160" w:before="280"/>
      </w:pPr>
      <w:r>
        <w:rPr>
          <w:rFonts w:ascii="Garamond" w:cs="Garamond" w:eastAsia="Garamond" w:hAnsi="Garamond"/>
          <w:b/>
          <w:bCs/>
          <w:color w:val="173F35"/>
          <w:sz w:val="26"/>
          <w:szCs w:val="26"/>
        </w:rPr>
        <w:t xml:space="preserve">4.1  Submission Method</w:t>
      </w:r>
    </w:p>
    <w:p>
      <w:pPr>
        <w:spacing w:after="160" w:before="0" w:line="320"/>
        <w:jc w:val="left"/>
      </w:pPr>
      <w:r>
        <w:rPr>
          <w:rFonts w:ascii="Lato" w:cs="Lato" w:eastAsia="Lato" w:hAnsi="Lato"/>
          <w:color w:val="1A1A1A"/>
          <w:sz w:val="22"/>
          <w:szCs w:val="22"/>
        </w:rPr>
        <w:t xml:space="preserve">Sealed proposals must be submitted via email to rfp@tarponbay-condo.example with the subject line “2026-08-POOL — [Vendor Name]”. Late, unsigned, or incomplete submissions will not be considered.</w:t>
      </w:r>
    </w:p>
    <w:p>
      <w:pPr>
        <w:pStyle w:val="Heading3"/>
        <w:spacing w:after="160" w:before="280"/>
      </w:pPr>
      <w:r>
        <w:rPr>
          <w:rFonts w:ascii="Garamond" w:cs="Garamond" w:eastAsia="Garamond" w:hAnsi="Garamond"/>
          <w:b/>
          <w:bCs/>
          <w:color w:val="173F35"/>
          <w:sz w:val="26"/>
          <w:szCs w:val="26"/>
        </w:rPr>
        <w:t xml:space="preserve">4.2  Question &amp; Answer Period</w:t>
      </w:r>
    </w:p>
    <w:p>
      <w:pPr>
        <w:spacing w:after="160" w:before="0" w:line="320"/>
        <w:jc w:val="left"/>
      </w:pPr>
      <w:r>
        <w:rPr>
          <w:rFonts w:ascii="Lato" w:cs="Lato" w:eastAsia="Lato" w:hAnsi="Lato"/>
          <w:color w:val="1A1A1A"/>
          <w:sz w:val="22"/>
          <w:szCs w:val="22"/>
        </w:rPr>
        <w:t xml:space="preserve">All questions must be submitted in writing to Marcus Hill, Association Manager, by September 17, 2026, 5:00 PM Local Time. Phone questions will not be answered.</w:t>
      </w:r>
    </w:p>
    <w:p>
      <w:pPr>
        <w:pStyle w:val="Heading3"/>
        <w:spacing w:after="160" w:before="280"/>
      </w:pPr>
      <w:r>
        <w:rPr>
          <w:rFonts w:ascii="Garamond" w:cs="Garamond" w:eastAsia="Garamond" w:hAnsi="Garamond"/>
          <w:b/>
          <w:bCs/>
          <w:color w:val="173F35"/>
          <w:sz w:val="26"/>
          <w:szCs w:val="26"/>
        </w:rPr>
        <w:t xml:space="preserve">4.3  Mandatory Pre-Proposal Site Visit</w:t>
      </w:r>
    </w:p>
    <w:p>
      <w:pPr>
        <w:spacing w:after="160" w:before="0" w:line="320"/>
        <w:jc w:val="left"/>
      </w:pPr>
      <w:r>
        <w:rPr>
          <w:rFonts w:ascii="Lato" w:cs="Lato" w:eastAsia="Lato" w:hAnsi="Lato"/>
          <w:color w:val="1A1A1A"/>
          <w:sz w:val="22"/>
          <w:szCs w:val="22"/>
        </w:rPr>
        <w:t xml:space="preserve">A mandatory site visit will be held September 11, 2026, at 10:00 AM at the Tarpon Bay pool deck. Up to two (2) representatives per bidder may attend. Bidders must register attendees by email no later than September 8, 2026, 5:00 PM. Failure to attend the site visit will disqualify a proposal.</w:t>
      </w:r>
    </w:p>
    <w:p>
      <w:pPr>
        <w:pStyle w:val="Heading3"/>
        <w:spacing w:after="160" w:before="280"/>
      </w:pPr>
      <w:r>
        <w:rPr>
          <w:rFonts w:ascii="Garamond" w:cs="Garamond" w:eastAsia="Garamond" w:hAnsi="Garamond"/>
          <w:b/>
          <w:bCs/>
          <w:color w:val="173F35"/>
          <w:sz w:val="26"/>
          <w:szCs w:val="26"/>
        </w:rPr>
        <w:t xml:space="preserve">4.4  Required Submittals</w:t>
      </w:r>
    </w:p>
    <w:p>
      <w:pPr>
        <w:pStyle w:val="ListParagraph"/>
        <w:numPr>
          <w:ilvl w:val="0"/>
          <w:numId w:val="3"/>
        </w:numPr>
        <w:spacing w:after="100" w:before="60" w:line="300"/>
      </w:pPr>
      <w:r>
        <w:rPr>
          <w:rFonts w:ascii="Lato" w:cs="Lato" w:eastAsia="Lato" w:hAnsi="Lato"/>
          <w:color w:val="1A1A1A"/>
          <w:sz w:val="22"/>
          <w:szCs w:val="22"/>
        </w:rPr>
        <w:t xml:space="preserve">Cover letter signed by an authorized officer.</w:t>
      </w:r>
    </w:p>
    <w:p>
      <w:pPr>
        <w:pStyle w:val="ListParagraph"/>
        <w:numPr>
          <w:ilvl w:val="0"/>
          <w:numId w:val="3"/>
        </w:numPr>
        <w:spacing w:after="100" w:before="60" w:line="300"/>
      </w:pPr>
      <w:r>
        <w:rPr>
          <w:rFonts w:ascii="Lato" w:cs="Lato" w:eastAsia="Lato" w:hAnsi="Lato"/>
          <w:color w:val="1A1A1A"/>
          <w:sz w:val="22"/>
          <w:szCs w:val="22"/>
        </w:rPr>
        <w:t xml:space="preserve">Completed Vendor Information Form (Section 7).</w:t>
      </w:r>
    </w:p>
    <w:p>
      <w:pPr>
        <w:pStyle w:val="ListParagraph"/>
        <w:numPr>
          <w:ilvl w:val="0"/>
          <w:numId w:val="3"/>
        </w:numPr>
        <w:spacing w:after="100" w:before="60" w:line="300"/>
      </w:pPr>
      <w:r>
        <w:rPr>
          <w:rFonts w:ascii="Lato" w:cs="Lato" w:eastAsia="Lato" w:hAnsi="Lato"/>
          <w:color w:val="1A1A1A"/>
          <w:sz w:val="22"/>
          <w:szCs w:val="22"/>
        </w:rPr>
        <w:t xml:space="preserve">Three (3) Past Performance References (Section 8) for similar Florida commercial pool contracts.</w:t>
      </w:r>
    </w:p>
    <w:p>
      <w:pPr>
        <w:pStyle w:val="ListParagraph"/>
        <w:numPr>
          <w:ilvl w:val="0"/>
          <w:numId w:val="3"/>
        </w:numPr>
        <w:spacing w:after="100" w:before="60" w:line="300"/>
      </w:pPr>
      <w:r>
        <w:rPr>
          <w:rFonts w:ascii="Lato" w:cs="Lato" w:eastAsia="Lato" w:hAnsi="Lato"/>
          <w:color w:val="1A1A1A"/>
          <w:sz w:val="22"/>
          <w:szCs w:val="22"/>
        </w:rPr>
        <w:t xml:space="preserve">Certificate of Insurance evidencing Section 9 coverage.</w:t>
      </w:r>
    </w:p>
    <w:p>
      <w:pPr>
        <w:pStyle w:val="ListParagraph"/>
        <w:numPr>
          <w:ilvl w:val="0"/>
          <w:numId w:val="3"/>
        </w:numPr>
        <w:spacing w:after="100" w:before="60" w:line="300"/>
      </w:pPr>
      <w:r>
        <w:rPr>
          <w:rFonts w:ascii="Lato" w:cs="Lato" w:eastAsia="Lato" w:hAnsi="Lato"/>
          <w:color w:val="1A1A1A"/>
          <w:sz w:val="22"/>
          <w:szCs w:val="22"/>
        </w:rPr>
        <w:t xml:space="preserve">Bid Sheet (Section 11).</w:t>
      </w:r>
    </w:p>
    <w:p>
      <w:pPr>
        <w:pStyle w:val="ListParagraph"/>
        <w:numPr>
          <w:ilvl w:val="0"/>
          <w:numId w:val="3"/>
        </w:numPr>
        <w:spacing w:after="100" w:before="60" w:line="300"/>
      </w:pPr>
      <w:r>
        <w:rPr>
          <w:rFonts w:ascii="Lato" w:cs="Lato" w:eastAsia="Lato" w:hAnsi="Lato"/>
          <w:color w:val="1A1A1A"/>
          <w:sz w:val="22"/>
          <w:szCs w:val="22"/>
        </w:rPr>
        <w:t xml:space="preserve">Bid Authorization &amp; Affidavit (Section 12).</w:t>
      </w:r>
    </w:p>
    <w:p>
      <w:pPr>
        <w:pStyle w:val="ListParagraph"/>
        <w:numPr>
          <w:ilvl w:val="0"/>
          <w:numId w:val="3"/>
        </w:numPr>
        <w:spacing w:after="100" w:before="60" w:line="300"/>
      </w:pPr>
      <w:r>
        <w:rPr>
          <w:rFonts w:ascii="Lato" w:cs="Lato" w:eastAsia="Lato" w:hAnsi="Lato"/>
          <w:color w:val="1A1A1A"/>
          <w:sz w:val="22"/>
          <w:szCs w:val="22"/>
        </w:rPr>
        <w:t xml:space="preserve">Management Approach narrative — not more than ten (10) pages — covering organizational structure, technician qualifications, chemistry program, hurricane response, and complaint resolution.</w:t>
      </w:r>
    </w:p>
    <w:p>
      <w:pPr>
        <w:pStyle w:val="ListParagraph"/>
        <w:numPr>
          <w:ilvl w:val="0"/>
          <w:numId w:val="3"/>
        </w:numPr>
        <w:spacing w:after="100" w:before="60" w:line="300"/>
      </w:pPr>
      <w:r>
        <w:rPr>
          <w:rFonts w:ascii="Lato" w:cs="Lato" w:eastAsia="Lato" w:hAnsi="Lato"/>
          <w:color w:val="1A1A1A"/>
          <w:sz w:val="22"/>
          <w:szCs w:val="22"/>
        </w:rPr>
        <w:t xml:space="preserve">Florida Department of Business and Professional Regulation Commercial Pool / Spa Servicing Contractor license number for the named applicator(s) and / or qualifying agent.</w:t>
      </w:r>
    </w:p>
    <w:p>
      <w:pPr>
        <w:pStyle w:val="ListParagraph"/>
        <w:numPr>
          <w:ilvl w:val="0"/>
          <w:numId w:val="3"/>
        </w:numPr>
        <w:spacing w:after="100" w:before="60" w:line="300"/>
      </w:pPr>
      <w:r>
        <w:rPr>
          <w:rFonts w:ascii="Lato" w:cs="Lato" w:eastAsia="Lato" w:hAnsi="Lato"/>
          <w:color w:val="1A1A1A"/>
          <w:sz w:val="22"/>
          <w:szCs w:val="22"/>
        </w:rPr>
        <w:t xml:space="preserve">Documentation that the lead technician holds a current Certified Pool Operator (CPO) or equivalent recognized certification.</w:t>
      </w:r>
    </w:p>
    <w:p>
      <w:r>
        <w:br w:type="page"/>
      </w:r>
    </w:p>
    <w:p>
      <w:pPr>
        <w:spacing w:after="60" w:before="0"/>
      </w:pPr>
      <w:r>
        <w:rPr>
          <w:rFonts w:ascii="Lato" w:cs="Lato" w:eastAsia="Lato" w:hAnsi="Lato"/>
          <w:b/>
          <w:bCs/>
          <w:color w:val="C9A24A"/>
          <w:spacing w:val="100"/>
          <w:sz w:val="16"/>
          <w:szCs w:val="16"/>
        </w:rPr>
        <w:t xml:space="preserve">SECTION 5</w:t>
      </w:r>
    </w:p>
    <w:p>
      <w:pPr>
        <w:pStyle w:val="Heading1"/>
        <w:spacing w:after="160" w:before="280"/>
      </w:pPr>
      <w:r>
        <w:rPr>
          <w:rFonts w:ascii="Garamond" w:cs="Garamond" w:eastAsia="Garamond" w:hAnsi="Garamond"/>
          <w:b/>
          <w:bCs/>
          <w:color w:val="173F35"/>
          <w:sz w:val="40"/>
          <w:szCs w:val="40"/>
        </w:rPr>
        <w:t xml:space="preserve">Evaluation of Proposals</w:t>
      </w:r>
    </w:p>
    <w:p>
      <w:pPr>
        <w:pBdr>
          <w:bottom w:val="single" w:color="C9A24A" w:sz="8" w:space="1"/>
        </w:pBdr>
        <w:spacing w:after="120" w:before="80"/>
      </w:pPr>
      <w:r>
        <w:t xml:space="preserve"/>
      </w:r>
    </w:p>
    <w:p>
      <w:pPr>
        <w:spacing w:after="160" w:before="0" w:line="320"/>
        <w:jc w:val="left"/>
      </w:pPr>
      <w:r>
        <w:rPr>
          <w:rFonts w:ascii="Lato" w:cs="Lato" w:eastAsia="Lato" w:hAnsi="Lato"/>
          <w:color w:val="1A1A1A"/>
          <w:sz w:val="22"/>
          <w:szCs w:val="22"/>
        </w:rPr>
        <w:t xml:space="preserve">Proposals will be evaluated by the Board (or its designated committee). Each criterion is rated as Acceptable or Unacceptable; any proposal rated Unacceptable on a threshold criterion will not be considered further. Final award will be made to the lowest-priced, technically acceptable bidder, subject to successful contract negotiation and compliance with Fla. Stat. § 718.3026.</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rPr>
          <w:tblHeader/>
        </w:trPr>
        <w:tc>
          <w:tcPr>
            <w:tcW w:type="dxa" w:w="3120"/>
            <w:tcBorders>
              <w:top w:val="single" w:color="173F35" w:sz="4"/>
              <w:left w:val="single" w:color="173F35" w:sz="4"/>
              <w:bottom w:val="single" w:color="173F35" w:sz="4"/>
              <w:right w:val="single" w:color="173F35" w:sz="4"/>
            </w:tcBorders>
            <w:shd w:fill="173F35" w:color="auto" w:val="clear"/>
            <w:tcMar>
              <w:top w:type="dxa" w:w="120"/>
              <w:left w:type="dxa" w:w="160"/>
              <w:bottom w:type="dxa" w:w="120"/>
              <w:right w:type="dxa" w:w="160"/>
            </w:tcMar>
          </w:tcPr>
          <w:p>
            <w:pPr>
              <w:spacing w:after="0" w:before="0" w:line="300"/>
              <w:jc w:val="left"/>
            </w:pPr>
            <w:r>
              <w:rPr>
                <w:rFonts w:ascii="Lato" w:cs="Lato" w:eastAsia="Lato" w:hAnsi="Lato"/>
                <w:b/>
                <w:bCs/>
                <w:color w:val="FFFFFF"/>
                <w:sz w:val="16"/>
                <w:szCs w:val="16"/>
              </w:rPr>
              <w:t xml:space="preserve">CRITERION</w:t>
            </w:r>
          </w:p>
        </w:tc>
        <w:tc>
          <w:tcPr>
            <w:tcW w:type="dxa" w:w="6240"/>
            <w:tcBorders>
              <w:top w:val="single" w:color="173F35" w:sz="4"/>
              <w:left w:val="single" w:color="173F35" w:sz="4"/>
              <w:bottom w:val="single" w:color="173F35" w:sz="4"/>
              <w:right w:val="single" w:color="173F35" w:sz="4"/>
            </w:tcBorders>
            <w:shd w:fill="173F35" w:color="auto" w:val="clear"/>
            <w:tcMar>
              <w:top w:type="dxa" w:w="120"/>
              <w:left w:type="dxa" w:w="160"/>
              <w:bottom w:type="dxa" w:w="120"/>
              <w:right w:type="dxa" w:w="160"/>
            </w:tcMar>
          </w:tcPr>
          <w:p>
            <w:pPr>
              <w:spacing w:after="0" w:before="0" w:line="300"/>
              <w:jc w:val="left"/>
            </w:pPr>
            <w:r>
              <w:rPr>
                <w:rFonts w:ascii="Lato" w:cs="Lato" w:eastAsia="Lato" w:hAnsi="Lato"/>
                <w:b/>
                <w:bCs/>
                <w:color w:val="FFFFFF"/>
                <w:sz w:val="16"/>
                <w:szCs w:val="16"/>
              </w:rPr>
              <w:t xml:space="preserve">STANDARD FOR ACCEPTABLE RATING</w:t>
            </w:r>
          </w:p>
        </w:tc>
      </w:tr>
      <w:tr>
        <w:tc>
          <w:tcPr>
            <w:tcW w:type="dxa" w:w="3120"/>
            <w:tcBorders>
              <w:top w:val="single" w:color="BFBFBF" w:sz="4"/>
              <w:left w:val="single" w:color="BFBFBF" w:sz="4"/>
              <w:bottom w:val="single" w:color="BFBFBF" w:sz="4"/>
              <w:right w:val="single" w:color="BFBFBF" w:sz="4"/>
            </w:tcBorders>
            <w:shd w:fill="F7F1DF"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Company Experience</w:t>
            </w:r>
          </w:p>
        </w:tc>
        <w:tc>
          <w:tcPr>
            <w:tcW w:type="dxa" w:w="6240"/>
            <w:tcBorders>
              <w:top w:val="single" w:color="BFBFBF" w:sz="4"/>
              <w:left w:val="single" w:color="BFBFBF" w:sz="4"/>
              <w:bottom w:val="single" w:color="BFBFBF" w:sz="4"/>
              <w:right w:val="single" w:color="BFBFBF" w:sz="4"/>
            </w:tcBorders>
            <w:shd w:fill="F7F1DF" w:color="auto" w:val="clear"/>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Five (5) or more years in commercial pool / spa servicing in Florida, with sufficient personnel and equipment to service this contract.</w:t>
            </w:r>
          </w:p>
        </w:tc>
      </w:tr>
      <w:tr>
        <w:tc>
          <w:tcPr>
            <w:tcW w:type="dxa" w:w="3120"/>
            <w:tcBorders>
              <w:top w:val="single" w:color="BFBFBF" w:sz="4"/>
              <w:left w:val="single" w:color="BFBFBF" w:sz="4"/>
              <w:bottom w:val="single" w:color="BFBFBF" w:sz="4"/>
              <w:right w:val="single" w:color="BFBFBF" w:sz="4"/>
            </w:tcBorders>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Past Performance</w:t>
            </w:r>
          </w:p>
        </w:tc>
        <w:tc>
          <w:tcPr>
            <w:tcW w:type="dxa" w:w="6240"/>
            <w:tcBorders>
              <w:top w:val="single" w:color="BFBFBF" w:sz="4"/>
              <w:left w:val="single" w:color="BFBFBF" w:sz="4"/>
              <w:bottom w:val="single" w:color="BFBFBF" w:sz="4"/>
              <w:right w:val="single" w:color="BFBFBF"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At least three (3) similar-scope Florida commercial pool contracts in the last five (5) years; reference contacts confirm satisfactory performance and Health-Department-inspection record.</w:t>
            </w:r>
          </w:p>
        </w:tc>
      </w:tr>
      <w:tr>
        <w:tc>
          <w:tcPr>
            <w:tcW w:type="dxa" w:w="3120"/>
            <w:tcBorders>
              <w:top w:val="single" w:color="BFBFBF" w:sz="4"/>
              <w:left w:val="single" w:color="BFBFBF" w:sz="4"/>
              <w:bottom w:val="single" w:color="BFBFBF" w:sz="4"/>
              <w:right w:val="single" w:color="BFBFBF" w:sz="4"/>
            </w:tcBorders>
            <w:shd w:fill="F7F1DF"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Insurance &amp; Licensing</w:t>
            </w:r>
          </w:p>
        </w:tc>
        <w:tc>
          <w:tcPr>
            <w:tcW w:type="dxa" w:w="6240"/>
            <w:tcBorders>
              <w:top w:val="single" w:color="BFBFBF" w:sz="4"/>
              <w:left w:val="single" w:color="BFBFBF" w:sz="4"/>
              <w:bottom w:val="single" w:color="BFBFBF" w:sz="4"/>
              <w:right w:val="single" w:color="BFBFBF" w:sz="4"/>
            </w:tcBorders>
            <w:shd w:fill="F7F1DF" w:color="auto" w:val="clear"/>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Insurance certificate evidences Section 9 coverage; FL DBPR Commercial Pool Servicing Contractor license is current; lead technician holds a current CPO or equivalent.</w:t>
            </w:r>
          </w:p>
        </w:tc>
      </w:tr>
      <w:tr>
        <w:tc>
          <w:tcPr>
            <w:tcW w:type="dxa" w:w="3120"/>
            <w:tcBorders>
              <w:top w:val="single" w:color="BFBFBF" w:sz="4"/>
              <w:left w:val="single" w:color="BFBFBF" w:sz="4"/>
              <w:bottom w:val="single" w:color="BFBFBF" w:sz="4"/>
              <w:right w:val="single" w:color="BFBFBF" w:sz="4"/>
            </w:tcBorders>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Quality Approach</w:t>
            </w:r>
          </w:p>
        </w:tc>
        <w:tc>
          <w:tcPr>
            <w:tcW w:type="dxa" w:w="6240"/>
            <w:tcBorders>
              <w:top w:val="single" w:color="BFBFBF" w:sz="4"/>
              <w:left w:val="single" w:color="BFBFBF" w:sz="4"/>
              <w:bottom w:val="single" w:color="BFBFBF" w:sz="4"/>
              <w:right w:val="single" w:color="BFBFBF"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Management plan addresses chemistry standards, mechanical inspection, hurricane response, SDS compliance, and complaint resolution.</w:t>
            </w:r>
          </w:p>
        </w:tc>
      </w:tr>
      <w:tr>
        <w:tc>
          <w:tcPr>
            <w:tcW w:type="dxa" w:w="3120"/>
            <w:tcBorders>
              <w:top w:val="single" w:color="BFBFBF" w:sz="4"/>
              <w:left w:val="single" w:color="BFBFBF" w:sz="4"/>
              <w:bottom w:val="single" w:color="BFBFBF" w:sz="4"/>
              <w:right w:val="single" w:color="BFBFBF" w:sz="4"/>
            </w:tcBorders>
            <w:shd w:fill="F7F1DF"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Pricing</w:t>
            </w:r>
          </w:p>
        </w:tc>
        <w:tc>
          <w:tcPr>
            <w:tcW w:type="dxa" w:w="6240"/>
            <w:tcBorders>
              <w:top w:val="single" w:color="BFBFBF" w:sz="4"/>
              <w:left w:val="single" w:color="BFBFBF" w:sz="4"/>
              <w:bottom w:val="single" w:color="BFBFBF" w:sz="4"/>
              <w:right w:val="single" w:color="BFBFBF" w:sz="4"/>
            </w:tcBorders>
            <w:shd w:fill="F7F1DF" w:color="auto" w:val="clear"/>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All-inclusive monthly and annualized price valid 60 days, completed in the format of the Bid Sheet (Section 11).</w:t>
            </w:r>
          </w:p>
        </w:tc>
      </w:tr>
      <w:tr>
        <w:tc>
          <w:tcPr>
            <w:tcW w:type="dxa" w:w="3120"/>
            <w:tcBorders>
              <w:top w:val="single" w:color="BFBFBF" w:sz="4"/>
              <w:left w:val="single" w:color="BFBFBF" w:sz="4"/>
              <w:bottom w:val="single" w:color="BFBFBF" w:sz="4"/>
              <w:right w:val="single" w:color="BFBFBF" w:sz="4"/>
            </w:tcBorders>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Site Visit Attendance</w:t>
            </w:r>
          </w:p>
        </w:tc>
        <w:tc>
          <w:tcPr>
            <w:tcW w:type="dxa" w:w="6240"/>
            <w:tcBorders>
              <w:top w:val="single" w:color="BFBFBF" w:sz="4"/>
              <w:left w:val="single" w:color="BFBFBF" w:sz="4"/>
              <w:bottom w:val="single" w:color="BFBFBF" w:sz="4"/>
              <w:right w:val="single" w:color="BFBFBF"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Bidder attended the mandatory pre-proposal site visit on September 11, 2026.</w:t>
            </w:r>
          </w:p>
        </w:tc>
      </w:tr>
    </w:tbl>
    <w:p>
      <w:r>
        <w:br w:type="page"/>
      </w:r>
    </w:p>
    <w:p>
      <w:pPr>
        <w:spacing w:after="60" w:before="0"/>
      </w:pPr>
      <w:r>
        <w:rPr>
          <w:rFonts w:ascii="Lato" w:cs="Lato" w:eastAsia="Lato" w:hAnsi="Lato"/>
          <w:b/>
          <w:bCs/>
          <w:color w:val="C9A24A"/>
          <w:spacing w:val="100"/>
          <w:sz w:val="16"/>
          <w:szCs w:val="16"/>
        </w:rPr>
        <w:t xml:space="preserve">SECTION 6</w:t>
      </w:r>
    </w:p>
    <w:p>
      <w:pPr>
        <w:pStyle w:val="Heading1"/>
        <w:spacing w:after="160" w:before="280"/>
      </w:pPr>
      <w:r>
        <w:rPr>
          <w:rFonts w:ascii="Garamond" w:cs="Garamond" w:eastAsia="Garamond" w:hAnsi="Garamond"/>
          <w:b/>
          <w:bCs/>
          <w:color w:val="173F35"/>
          <w:sz w:val="40"/>
          <w:szCs w:val="40"/>
        </w:rPr>
        <w:t xml:space="preserve">Conflicts of Interest</w:t>
      </w:r>
    </w:p>
    <w:p>
      <w:pPr>
        <w:pBdr>
          <w:bottom w:val="single" w:color="C9A24A" w:sz="8" w:space="1"/>
        </w:pBdr>
        <w:spacing w:after="120" w:before="80"/>
      </w:pPr>
      <w:r>
        <w:t xml:space="preserve"/>
      </w:r>
    </w:p>
    <w:p>
      <w:pPr>
        <w:spacing w:after="120" w:before="0" w:line="320"/>
        <w:jc w:val="left"/>
      </w:pPr>
      <w:r>
        <w:rPr>
          <w:rFonts w:ascii="Lato" w:cs="Lato" w:eastAsia="Lato" w:hAnsi="Lato"/>
          <w:color w:val="1A1A1A"/>
          <w:sz w:val="22"/>
          <w:szCs w:val="22"/>
        </w:rPr>
        <w:t xml:space="preserve">Each proposer shall disclose, in its cover letter, any current or prior relationship between the proposer (or any owner, officer, employee, or relative thereof within the third degree of consanguinity or affinity) and any current Director, Officer, Committee Member, or Manager of the Association.</w:t>
      </w:r>
    </w:p>
    <w:p>
      <w:pPr>
        <w:spacing w:after="160" w:before="0" w:line="320"/>
        <w:jc w:val="left"/>
      </w:pPr>
      <w:r>
        <w:rPr>
          <w:rFonts w:ascii="Lato" w:cs="Lato" w:eastAsia="Lato" w:hAnsi="Lato"/>
          <w:color w:val="1A1A1A"/>
          <w:sz w:val="22"/>
          <w:szCs w:val="22"/>
        </w:rPr>
        <w:t xml:space="preserve">The Association will follow the procedures of Fla. Stat. § 718.3027 (Conflicts of interest) and § 720.3033 (as applicable) in evaluating any proposal involving a director, officer, or relative thereof, including the rebuttable presumption, agenda, supermajority approval, and member-cancellation procedures specified by statute.</w:t>
      </w:r>
    </w:p>
    <w:p>
      <w:r>
        <w:br w:type="page"/>
      </w:r>
    </w:p>
    <w:p>
      <w:pPr>
        <w:spacing w:after="60" w:before="0"/>
      </w:pPr>
      <w:r>
        <w:rPr>
          <w:rFonts w:ascii="Lato" w:cs="Lato" w:eastAsia="Lato" w:hAnsi="Lato"/>
          <w:b/>
          <w:bCs/>
          <w:color w:val="C9A24A"/>
          <w:spacing w:val="100"/>
          <w:sz w:val="16"/>
          <w:szCs w:val="16"/>
        </w:rPr>
        <w:t xml:space="preserve">SECTION 7  /  FORM 1</w:t>
      </w:r>
    </w:p>
    <w:p>
      <w:pPr>
        <w:pStyle w:val="Heading1"/>
        <w:spacing w:after="160" w:before="280"/>
      </w:pPr>
      <w:r>
        <w:rPr>
          <w:rFonts w:ascii="Garamond" w:cs="Garamond" w:eastAsia="Garamond" w:hAnsi="Garamond"/>
          <w:b/>
          <w:bCs/>
          <w:color w:val="173F35"/>
          <w:sz w:val="40"/>
          <w:szCs w:val="40"/>
        </w:rPr>
        <w:t xml:space="preserve">Vendor Information Form</w:t>
      </w:r>
    </w:p>
    <w:p>
      <w:pPr>
        <w:pBdr>
          <w:bottom w:val="single" w:color="C9A24A" w:sz="8" w:space="1"/>
        </w:pBdr>
        <w:spacing w:after="12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Legal Company Name</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____________________________________________________________</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DBA / Trade Name (if any)</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____________________________________________________________</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Main Office Address</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____________________________________________________________</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Authorized Contact (Name / Title)</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____________________________________________________________</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Phone</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____________________________________________________________</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Email</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____________________________________________________________</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FL DBPR Commercial Pool / Spa License #</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____________________________________________________________</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Qualifying Agent Name &amp; License #</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____________________________________________________________</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Year Founded</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____________________________________________________________</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Years in Florida Commercial Pool Service</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____________________________________________________________</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No. of Permanent Employees</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____________________________________________________________</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Last calendar year pool-service revenue ($)</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____________________________________________________________</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CPO / Equivalent Certifications Held by Lead Technicians</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____________________________________________________________</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EIN / Federal Tax ID</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____________________________________________________________</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W-9 on file with the Association?</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____________________________________________________________</w:t>
            </w:r>
          </w:p>
        </w:tc>
      </w:tr>
    </w:tbl>
    <w:p>
      <w:r>
        <w:br w:type="page"/>
      </w:r>
    </w:p>
    <w:p>
      <w:pPr>
        <w:spacing w:after="60" w:before="0"/>
      </w:pPr>
      <w:r>
        <w:rPr>
          <w:rFonts w:ascii="Lato" w:cs="Lato" w:eastAsia="Lato" w:hAnsi="Lato"/>
          <w:b/>
          <w:bCs/>
          <w:color w:val="C9A24A"/>
          <w:spacing w:val="100"/>
          <w:sz w:val="16"/>
          <w:szCs w:val="16"/>
        </w:rPr>
        <w:t xml:space="preserve">SECTION 8  /  FORM 2</w:t>
      </w:r>
    </w:p>
    <w:p>
      <w:pPr>
        <w:pStyle w:val="Heading1"/>
        <w:spacing w:after="160" w:before="280"/>
      </w:pPr>
      <w:r>
        <w:rPr>
          <w:rFonts w:ascii="Garamond" w:cs="Garamond" w:eastAsia="Garamond" w:hAnsi="Garamond"/>
          <w:b/>
          <w:bCs/>
          <w:color w:val="173F35"/>
          <w:sz w:val="40"/>
          <w:szCs w:val="40"/>
        </w:rPr>
        <w:t xml:space="preserve">Past Performance References (3)</w:t>
      </w:r>
    </w:p>
    <w:p>
      <w:pPr>
        <w:pBdr>
          <w:bottom w:val="single" w:color="C9A24A" w:sz="8" w:space="1"/>
        </w:pBdr>
        <w:spacing w:after="120" w:before="80"/>
      </w:pPr>
      <w:r>
        <w:t xml:space="preserve"/>
      </w:r>
    </w:p>
    <w:p>
      <w:pPr>
        <w:spacing w:after="160" w:before="0" w:line="300"/>
        <w:jc w:val="left"/>
      </w:pPr>
      <w:r>
        <w:rPr>
          <w:rFonts w:ascii="Lato" w:cs="Lato" w:eastAsia="Lato" w:hAnsi="Lato"/>
          <w:i/>
          <w:iCs/>
          <w:color w:val="5C5C5C"/>
          <w:sz w:val="22"/>
          <w:szCs w:val="22"/>
        </w:rPr>
        <w:t xml:space="preserve">Provide three (3) references for similar-scope Florida commercial pool contracts completed within the last five (5) years. Reference contacts must consent to be contacted by the Association.</w:t>
      </w:r>
    </w:p>
    <w:p>
      <w:pPr>
        <w:spacing w:after="60" w:before="0"/>
      </w:pPr>
      <w:r>
        <w:rPr>
          <w:rFonts w:ascii="Lato" w:cs="Lato" w:eastAsia="Lato" w:hAnsi="Lato"/>
          <w:b/>
          <w:bCs/>
          <w:color w:val="C9A24A"/>
          <w:spacing w:val="100"/>
          <w:sz w:val="16"/>
          <w:szCs w:val="16"/>
        </w:rPr>
        <w:t xml:space="preserve">REFERENCE 1</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Project / Property Name</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____________________________________________________________</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Property Address</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____________________________________________________________</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Reference Contact (Name / Title)</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____________________________________________________________</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Phone</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____________________________________________________________</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Email</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____________________________________________________________</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Service Category &amp; Scope</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____________________________________________________________</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Monthly Contract Value ($)</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____________________________________________________________</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Years Served (From – To)</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____________________________________________________________</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May the Association contact this reference?  (Y / N)</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____________________________________________________________</w:t>
            </w:r>
          </w:p>
        </w:tc>
      </w:tr>
    </w:tbl>
    <w:p>
      <w:pPr>
        <w:spacing w:after="8" w:before="8"/>
      </w:pPr>
      <w:r>
        <w:rPr>
          <w:sz w:val="2"/>
          <w:szCs w:val="2"/>
        </w:rPr>
        <w:t xml:space="preserve"/>
      </w:r>
    </w:p>
    <w:p>
      <w:pPr>
        <w:spacing w:after="60" w:before="0"/>
      </w:pPr>
      <w:r>
        <w:rPr>
          <w:rFonts w:ascii="Lato" w:cs="Lato" w:eastAsia="Lato" w:hAnsi="Lato"/>
          <w:b/>
          <w:bCs/>
          <w:color w:val="C9A24A"/>
          <w:spacing w:val="100"/>
          <w:sz w:val="16"/>
          <w:szCs w:val="16"/>
        </w:rPr>
        <w:t xml:space="preserve">REFERENCE 2</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Project / Property Name</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____________________________________________________________</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Property Address</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____________________________________________________________</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Reference Contact (Name / Title)</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____________________________________________________________</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Phone</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____________________________________________________________</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Email</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____________________________________________________________</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Service Category &amp; Scope</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____________________________________________________________</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Monthly Contract Value ($)</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____________________________________________________________</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Years Served (From – To)</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____________________________________________________________</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May the Association contact this reference?  (Y / N)</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____________________________________________________________</w:t>
            </w:r>
          </w:p>
        </w:tc>
      </w:tr>
    </w:tbl>
    <w:p>
      <w:pPr>
        <w:spacing w:after="8" w:before="8"/>
      </w:pPr>
      <w:r>
        <w:rPr>
          <w:sz w:val="2"/>
          <w:szCs w:val="2"/>
        </w:rPr>
        <w:t xml:space="preserve"/>
      </w:r>
    </w:p>
    <w:p>
      <w:pPr>
        <w:spacing w:after="60" w:before="0"/>
      </w:pPr>
      <w:r>
        <w:rPr>
          <w:rFonts w:ascii="Lato" w:cs="Lato" w:eastAsia="Lato" w:hAnsi="Lato"/>
          <w:b/>
          <w:bCs/>
          <w:color w:val="C9A24A"/>
          <w:spacing w:val="100"/>
          <w:sz w:val="16"/>
          <w:szCs w:val="16"/>
        </w:rPr>
        <w:t xml:space="preserve">REFERENCE 3</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Project / Property Name</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____________________________________________________________</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Property Address</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____________________________________________________________</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Reference Contact (Name / Title)</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____________________________________________________________</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Phone</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____________________________________________________________</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Email</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____________________________________________________________</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Service Category &amp; Scope</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____________________________________________________________</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Monthly Contract Value ($)</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____________________________________________________________</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Years Served (From – To)</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____________________________________________________________</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May the Association contact this reference?  (Y / N)</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____________________________________________________________</w:t>
            </w:r>
          </w:p>
        </w:tc>
      </w:tr>
    </w:tbl>
    <w:p>
      <w:pPr>
        <w:spacing w:after="8" w:before="8"/>
      </w:pPr>
      <w:r>
        <w:rPr>
          <w:sz w:val="2"/>
          <w:szCs w:val="2"/>
        </w:rPr>
        <w:t xml:space="preserve"/>
      </w:r>
    </w:p>
    <w:p>
      <w:r>
        <w:br w:type="page"/>
      </w:r>
    </w:p>
    <w:p>
      <w:pPr>
        <w:spacing w:after="60" w:before="0"/>
      </w:pPr>
      <w:r>
        <w:rPr>
          <w:rFonts w:ascii="Lato" w:cs="Lato" w:eastAsia="Lato" w:hAnsi="Lato"/>
          <w:b/>
          <w:bCs/>
          <w:color w:val="C9A24A"/>
          <w:spacing w:val="100"/>
          <w:sz w:val="16"/>
          <w:szCs w:val="16"/>
        </w:rPr>
        <w:t xml:space="preserve">SECTION 9</w:t>
      </w:r>
    </w:p>
    <w:p>
      <w:pPr>
        <w:pStyle w:val="Heading1"/>
        <w:spacing w:after="160" w:before="280"/>
      </w:pPr>
      <w:r>
        <w:rPr>
          <w:rFonts w:ascii="Garamond" w:cs="Garamond" w:eastAsia="Garamond" w:hAnsi="Garamond"/>
          <w:b/>
          <w:bCs/>
          <w:color w:val="173F35"/>
          <w:sz w:val="40"/>
          <w:szCs w:val="40"/>
        </w:rPr>
        <w:t xml:space="preserve">Insurance Requirements</w:t>
      </w:r>
    </w:p>
    <w:p>
      <w:pPr>
        <w:pBdr>
          <w:bottom w:val="single" w:color="C9A24A" w:sz="8" w:space="1"/>
        </w:pBdr>
        <w:spacing w:after="120" w:before="80"/>
      </w:pPr>
      <w:r>
        <w:t xml:space="preserve"/>
      </w:r>
    </w:p>
    <w:p>
      <w:pPr>
        <w:spacing w:after="160" w:before="0" w:line="320"/>
        <w:jc w:val="left"/>
      </w:pPr>
      <w:r>
        <w:rPr>
          <w:rFonts w:ascii="Lato" w:cs="Lato" w:eastAsia="Lato" w:hAnsi="Lato"/>
          <w:color w:val="1A1A1A"/>
          <w:sz w:val="22"/>
          <w:szCs w:val="22"/>
        </w:rPr>
        <w:t xml:space="preserve">Proposer shall maintain, at its sole expense, the following minimum insurance coverages throughout the term of any resulting contract.</w:t>
      </w:r>
    </w:p>
    <w:p>
      <w:pPr>
        <w:pStyle w:val="ListParagraph"/>
        <w:numPr>
          <w:ilvl w:val="0"/>
          <w:numId w:val="2"/>
        </w:numPr>
        <w:spacing w:after="60" w:before="40" w:line="290"/>
      </w:pPr>
      <w:r>
        <w:rPr>
          <w:rFonts w:ascii="Lato" w:cs="Lato" w:eastAsia="Lato" w:hAnsi="Lato"/>
          <w:b/>
          <w:bCs/>
          <w:color w:val="173F35"/>
          <w:sz w:val="22"/>
          <w:szCs w:val="22"/>
        </w:rPr>
        <w:t xml:space="preserve">Commercial General Liability — </w:t>
      </w:r>
      <w:r>
        <w:rPr>
          <w:rFonts w:ascii="Lato" w:cs="Lato" w:eastAsia="Lato" w:hAnsi="Lato"/>
          <w:color w:val="1A1A1A"/>
          <w:sz w:val="22"/>
          <w:szCs w:val="22"/>
        </w:rPr>
        <w:t xml:space="preserve">minimum $1,000,000 per occurrence and $2,000,000 aggregate, including products / completed operations and contractual liability. Tarpon Bay Condominium Association, Inc., its Board, Managing Agent, and Tarpon Bay Property Management LLC named as additional insureds.</w:t>
      </w:r>
    </w:p>
    <w:p>
      <w:pPr>
        <w:pStyle w:val="ListParagraph"/>
        <w:numPr>
          <w:ilvl w:val="0"/>
          <w:numId w:val="2"/>
        </w:numPr>
        <w:spacing w:after="60" w:before="40" w:line="290"/>
      </w:pPr>
      <w:r>
        <w:rPr>
          <w:rFonts w:ascii="Lato" w:cs="Lato" w:eastAsia="Lato" w:hAnsi="Lato"/>
          <w:b/>
          <w:bCs/>
          <w:color w:val="173F35"/>
          <w:sz w:val="22"/>
          <w:szCs w:val="22"/>
        </w:rPr>
        <w:t xml:space="preserve">Commercial Auto Liability — </w:t>
      </w:r>
      <w:r>
        <w:rPr>
          <w:rFonts w:ascii="Lato" w:cs="Lato" w:eastAsia="Lato" w:hAnsi="Lato"/>
          <w:color w:val="1A1A1A"/>
          <w:sz w:val="22"/>
          <w:szCs w:val="22"/>
        </w:rPr>
        <w:t xml:space="preserve">minimum $1,000,000 combined single limit, including owned, non-owned, and hired vehicles.</w:t>
      </w:r>
    </w:p>
    <w:p>
      <w:pPr>
        <w:pStyle w:val="ListParagraph"/>
        <w:numPr>
          <w:ilvl w:val="0"/>
          <w:numId w:val="2"/>
        </w:numPr>
        <w:spacing w:after="60" w:before="40" w:line="290"/>
      </w:pPr>
      <w:r>
        <w:rPr>
          <w:rFonts w:ascii="Lato" w:cs="Lato" w:eastAsia="Lato" w:hAnsi="Lato"/>
          <w:b/>
          <w:bCs/>
          <w:color w:val="173F35"/>
          <w:sz w:val="22"/>
          <w:szCs w:val="22"/>
        </w:rPr>
        <w:t xml:space="preserve">Workers’ Compensation &amp; Employer’s Liability — </w:t>
      </w:r>
      <w:r>
        <w:rPr>
          <w:rFonts w:ascii="Lato" w:cs="Lato" w:eastAsia="Lato" w:hAnsi="Lato"/>
          <w:color w:val="1A1A1A"/>
          <w:sz w:val="22"/>
          <w:szCs w:val="22"/>
        </w:rPr>
        <w:t xml:space="preserve">Workers’ Comp at the Florida statutory limit; Employer’s Liability of not less than $1,000,000 each accident / disease / disease policy limit.</w:t>
      </w:r>
    </w:p>
    <w:p>
      <w:pPr>
        <w:pStyle w:val="ListParagraph"/>
        <w:numPr>
          <w:ilvl w:val="0"/>
          <w:numId w:val="2"/>
        </w:numPr>
        <w:spacing w:after="60" w:before="40" w:line="290"/>
      </w:pPr>
      <w:r>
        <w:rPr>
          <w:rFonts w:ascii="Lato" w:cs="Lato" w:eastAsia="Lato" w:hAnsi="Lato"/>
          <w:b/>
          <w:bCs/>
          <w:color w:val="173F35"/>
          <w:sz w:val="22"/>
          <w:szCs w:val="22"/>
        </w:rPr>
        <w:t xml:space="preserve">Pollution / Chemical Liability — </w:t>
      </w:r>
      <w:r>
        <w:rPr>
          <w:rFonts w:ascii="Lato" w:cs="Lato" w:eastAsia="Lato" w:hAnsi="Lato"/>
          <w:color w:val="1A1A1A"/>
          <w:sz w:val="22"/>
          <w:szCs w:val="22"/>
        </w:rPr>
        <w:t xml:space="preserve">minimum $1,000,000 per occurrence chemical / pollution liability, on a coverage form acceptable to the Association.</w:t>
      </w:r>
    </w:p>
    <w:p>
      <w:pPr>
        <w:pStyle w:val="ListParagraph"/>
        <w:numPr>
          <w:ilvl w:val="0"/>
          <w:numId w:val="2"/>
        </w:numPr>
        <w:spacing w:after="60" w:before="40" w:line="290"/>
      </w:pPr>
      <w:r>
        <w:rPr>
          <w:rFonts w:ascii="Lato" w:cs="Lato" w:eastAsia="Lato" w:hAnsi="Lato"/>
          <w:b/>
          <w:bCs/>
          <w:color w:val="173F35"/>
          <w:sz w:val="22"/>
          <w:szCs w:val="22"/>
        </w:rPr>
        <w:t xml:space="preserve">Umbrella / Excess Liability — </w:t>
      </w:r>
      <w:r>
        <w:rPr>
          <w:rFonts w:ascii="Lato" w:cs="Lato" w:eastAsia="Lato" w:hAnsi="Lato"/>
          <w:color w:val="1A1A1A"/>
          <w:sz w:val="22"/>
          <w:szCs w:val="22"/>
        </w:rPr>
        <w:t xml:space="preserve">minimum $2,000,000 over the underlying coverages.</w:t>
      </w:r>
    </w:p>
    <w:p>
      <w:pPr>
        <w:pStyle w:val="ListParagraph"/>
        <w:numPr>
          <w:ilvl w:val="0"/>
          <w:numId w:val="2"/>
        </w:numPr>
        <w:spacing w:after="60" w:before="40" w:line="290"/>
      </w:pPr>
      <w:r>
        <w:rPr>
          <w:rFonts w:ascii="Lato" w:cs="Lato" w:eastAsia="Lato" w:hAnsi="Lato"/>
          <w:b/>
          <w:bCs/>
          <w:color w:val="173F35"/>
          <w:sz w:val="22"/>
          <w:szCs w:val="22"/>
        </w:rPr>
        <w:t xml:space="preserve">Notice of Cancellation — </w:t>
      </w:r>
      <w:r>
        <w:rPr>
          <w:rFonts w:ascii="Lato" w:cs="Lato" w:eastAsia="Lato" w:hAnsi="Lato"/>
          <w:color w:val="1A1A1A"/>
          <w:sz w:val="22"/>
          <w:szCs w:val="22"/>
        </w:rPr>
        <w:t xml:space="preserve">30 days’ written notice to the Association in the event of cancellation or material change.</w:t>
      </w:r>
    </w:p>
    <w:p>
      <w:pPr>
        <w:spacing w:after="8" w:before="8"/>
      </w:pPr>
      <w:r>
        <w:rPr>
          <w:sz w:val="2"/>
          <w:szCs w:val="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3594D" w:sz="4"/>
              <w:left w:val="single" w:color="23594D" w:sz="24"/>
              <w:bottom w:val="single" w:color="23594D" w:sz="4"/>
              <w:right w:val="single" w:color="23594D" w:sz="4"/>
            </w:tcBorders>
            <w:shd w:fill="DDE7E2" w:color="auto" w:val="clear"/>
            <w:tcMar>
              <w:top w:type="dxa" w:w="200"/>
              <w:left w:type="dxa" w:w="240"/>
              <w:bottom w:type="dxa" w:w="200"/>
              <w:right w:type="dxa" w:w="240"/>
            </w:tcMar>
          </w:tcPr>
          <w:p>
            <w:pPr>
              <w:spacing w:after="80" w:before="0"/>
            </w:pPr>
            <w:r>
              <w:rPr>
                <w:rFonts w:ascii="Lato" w:cs="Lato" w:eastAsia="Lato" w:hAnsi="Lato"/>
                <w:b/>
                <w:bCs/>
                <w:color w:val="173F35"/>
                <w:spacing w:val="80"/>
                <w:sz w:val="16"/>
                <w:szCs w:val="16"/>
              </w:rPr>
              <w:t xml:space="preserve">INSURANCE COORDINATION</w:t>
            </w:r>
          </w:p>
          <w:p>
            <w:pPr>
              <w:spacing w:after="0" w:before="0" w:line="300"/>
              <w:jc w:val="left"/>
            </w:pPr>
            <w:r>
              <w:rPr>
                <w:rFonts w:ascii="Lato" w:cs="Lato" w:eastAsia="Lato" w:hAnsi="Lato"/>
                <w:color w:val="1A1A1A"/>
                <w:sz w:val="22"/>
                <w:szCs w:val="22"/>
              </w:rPr>
              <w:t xml:space="preserve">This Section 9 should be reviewed by the Association’s insurance broker against the Association’s master condominium policy issued under Fla. Stat. § 718.111(11) before this RFP is issued.</w:t>
            </w:r>
          </w:p>
        </w:tc>
      </w:tr>
    </w:tbl>
    <w:p>
      <w:r>
        <w:br w:type="page"/>
      </w:r>
    </w:p>
    <w:p>
      <w:pPr>
        <w:spacing w:after="60" w:before="0"/>
      </w:pPr>
      <w:r>
        <w:rPr>
          <w:rFonts w:ascii="Lato" w:cs="Lato" w:eastAsia="Lato" w:hAnsi="Lato"/>
          <w:b/>
          <w:bCs/>
          <w:color w:val="C9A24A"/>
          <w:spacing w:val="100"/>
          <w:sz w:val="16"/>
          <w:szCs w:val="16"/>
        </w:rPr>
        <w:t xml:space="preserve">SECTION 10</w:t>
      </w:r>
    </w:p>
    <w:p>
      <w:pPr>
        <w:pStyle w:val="Heading1"/>
        <w:spacing w:after="160" w:before="280"/>
      </w:pPr>
      <w:r>
        <w:rPr>
          <w:rFonts w:ascii="Garamond" w:cs="Garamond" w:eastAsia="Garamond" w:hAnsi="Garamond"/>
          <w:b/>
          <w:bCs/>
          <w:color w:val="173F35"/>
          <w:sz w:val="40"/>
          <w:szCs w:val="40"/>
        </w:rPr>
        <w:t xml:space="preserve">Contract Terms (Summary)</w:t>
      </w:r>
    </w:p>
    <w:p>
      <w:pPr>
        <w:pBdr>
          <w:bottom w:val="single" w:color="C9A24A" w:sz="8" w:space="1"/>
        </w:pBdr>
        <w:spacing w:after="120" w:before="80"/>
      </w:pPr>
      <w:r>
        <w:t xml:space="preserve"/>
      </w:r>
    </w:p>
    <w:p>
      <w:pPr>
        <w:spacing w:after="160" w:before="0" w:line="320"/>
        <w:jc w:val="left"/>
      </w:pPr>
      <w:r>
        <w:rPr>
          <w:rFonts w:ascii="Lato" w:cs="Lato" w:eastAsia="Lato" w:hAnsi="Lato"/>
          <w:color w:val="1A1A1A"/>
          <w:sz w:val="22"/>
          <w:szCs w:val="22"/>
        </w:rPr>
        <w:t xml:space="preserve">The proposer awarded this RFP shall enter into a written services agreement with the Association on terms substantially as follows.</w:t>
      </w:r>
    </w:p>
    <w:p>
      <w:pPr>
        <w:pStyle w:val="ListParagraph"/>
        <w:numPr>
          <w:ilvl w:val="0"/>
          <w:numId w:val="2"/>
        </w:numPr>
        <w:spacing w:after="60" w:before="40" w:line="290"/>
      </w:pPr>
      <w:r>
        <w:rPr>
          <w:rFonts w:ascii="Lato" w:cs="Lato" w:eastAsia="Lato" w:hAnsi="Lato"/>
          <w:b/>
          <w:bCs/>
          <w:color w:val="173F35"/>
          <w:sz w:val="22"/>
          <w:szCs w:val="22"/>
        </w:rPr>
        <w:t xml:space="preserve">Term — </w:t>
      </w:r>
      <w:r>
        <w:rPr>
          <w:rFonts w:ascii="Lato" w:cs="Lato" w:eastAsia="Lato" w:hAnsi="Lato"/>
          <w:color w:val="1A1A1A"/>
          <w:sz w:val="22"/>
          <w:szCs w:val="22"/>
        </w:rPr>
        <w:t xml:space="preserve">12 months, January 1, 2027 through December 31, 2027, with two (2) one-year renewal options at the Association’s sole discretion and a price review at each anniversary.</w:t>
      </w:r>
    </w:p>
    <w:p>
      <w:pPr>
        <w:pStyle w:val="ListParagraph"/>
        <w:numPr>
          <w:ilvl w:val="0"/>
          <w:numId w:val="2"/>
        </w:numPr>
        <w:spacing w:after="60" w:before="40" w:line="290"/>
      </w:pPr>
      <w:r>
        <w:rPr>
          <w:rFonts w:ascii="Lato" w:cs="Lato" w:eastAsia="Lato" w:hAnsi="Lato"/>
          <w:b/>
          <w:bCs/>
          <w:color w:val="173F35"/>
          <w:sz w:val="22"/>
          <w:szCs w:val="22"/>
        </w:rPr>
        <w:t xml:space="preserve">Pricing — </w:t>
      </w:r>
      <w:r>
        <w:rPr>
          <w:rFonts w:ascii="Lato" w:cs="Lato" w:eastAsia="Lato" w:hAnsi="Lato"/>
          <w:color w:val="1A1A1A"/>
          <w:sz w:val="22"/>
          <w:szCs w:val="22"/>
        </w:rPr>
        <w:t xml:space="preserve">monthly fixed-fee for the recurring scope; as-needed work billed at the labor and material rates in the Bid Sheet upon written approval of the Manager.</w:t>
      </w:r>
    </w:p>
    <w:p>
      <w:pPr>
        <w:pStyle w:val="ListParagraph"/>
        <w:numPr>
          <w:ilvl w:val="0"/>
          <w:numId w:val="2"/>
        </w:numPr>
        <w:spacing w:after="60" w:before="40" w:line="290"/>
      </w:pPr>
      <w:r>
        <w:rPr>
          <w:rFonts w:ascii="Lato" w:cs="Lato" w:eastAsia="Lato" w:hAnsi="Lato"/>
          <w:b/>
          <w:bCs/>
          <w:color w:val="173F35"/>
          <w:sz w:val="22"/>
          <w:szCs w:val="22"/>
        </w:rPr>
        <w:t xml:space="preserve">Termination for Convenience — </w:t>
      </w:r>
      <w:r>
        <w:rPr>
          <w:rFonts w:ascii="Lato" w:cs="Lato" w:eastAsia="Lato" w:hAnsi="Lato"/>
          <w:color w:val="1A1A1A"/>
          <w:sz w:val="22"/>
          <w:szCs w:val="22"/>
        </w:rPr>
        <w:t xml:space="preserve">either party may terminate on thirty (30) days’ written notice without penalty.</w:t>
      </w:r>
    </w:p>
    <w:p>
      <w:pPr>
        <w:pStyle w:val="ListParagraph"/>
        <w:numPr>
          <w:ilvl w:val="0"/>
          <w:numId w:val="2"/>
        </w:numPr>
        <w:spacing w:after="60" w:before="40" w:line="290"/>
      </w:pPr>
      <w:r>
        <w:rPr>
          <w:rFonts w:ascii="Lato" w:cs="Lato" w:eastAsia="Lato" w:hAnsi="Lato"/>
          <w:b/>
          <w:bCs/>
          <w:color w:val="173F35"/>
          <w:sz w:val="22"/>
          <w:szCs w:val="22"/>
        </w:rPr>
        <w:t xml:space="preserve">Termination for Cause — </w:t>
      </w:r>
      <w:r>
        <w:rPr>
          <w:rFonts w:ascii="Lato" w:cs="Lato" w:eastAsia="Lato" w:hAnsi="Lato"/>
          <w:color w:val="1A1A1A"/>
          <w:sz w:val="22"/>
          <w:szCs w:val="22"/>
        </w:rPr>
        <w:t xml:space="preserve">Association may terminate immediately on written notice for material breach not cured within ten (10) days, including any failure to maintain chemistry within the ranges required by Fla. Admin. Code Ch. 64E-9.</w:t>
      </w:r>
    </w:p>
    <w:p>
      <w:pPr>
        <w:pStyle w:val="ListParagraph"/>
        <w:numPr>
          <w:ilvl w:val="0"/>
          <w:numId w:val="2"/>
        </w:numPr>
        <w:spacing w:after="60" w:before="40" w:line="290"/>
      </w:pPr>
      <w:r>
        <w:rPr>
          <w:rFonts w:ascii="Lato" w:cs="Lato" w:eastAsia="Lato" w:hAnsi="Lato"/>
          <w:b/>
          <w:bCs/>
          <w:color w:val="173F35"/>
          <w:sz w:val="22"/>
          <w:szCs w:val="22"/>
        </w:rPr>
        <w:t xml:space="preserve">Independent Contractor — </w:t>
      </w:r>
      <w:r>
        <w:rPr>
          <w:rFonts w:ascii="Lato" w:cs="Lato" w:eastAsia="Lato" w:hAnsi="Lato"/>
          <w:color w:val="1A1A1A"/>
          <w:sz w:val="22"/>
          <w:szCs w:val="22"/>
        </w:rPr>
        <w:t xml:space="preserve">Vendor is an independent contractor; no employer-employee relationship is created.</w:t>
      </w:r>
    </w:p>
    <w:p>
      <w:pPr>
        <w:pStyle w:val="ListParagraph"/>
        <w:numPr>
          <w:ilvl w:val="0"/>
          <w:numId w:val="2"/>
        </w:numPr>
        <w:spacing w:after="60" w:before="40" w:line="290"/>
      </w:pPr>
      <w:r>
        <w:rPr>
          <w:rFonts w:ascii="Lato" w:cs="Lato" w:eastAsia="Lato" w:hAnsi="Lato"/>
          <w:b/>
          <w:bCs/>
          <w:color w:val="173F35"/>
          <w:sz w:val="22"/>
          <w:szCs w:val="22"/>
        </w:rPr>
        <w:t xml:space="preserve">Indemnification — </w:t>
      </w:r>
      <w:r>
        <w:rPr>
          <w:rFonts w:ascii="Lato" w:cs="Lato" w:eastAsia="Lato" w:hAnsi="Lato"/>
          <w:color w:val="1A1A1A"/>
          <w:sz w:val="22"/>
          <w:szCs w:val="22"/>
        </w:rPr>
        <w:t xml:space="preserve">Vendor shall indemnify and hold harmless the Association, Board, Manager, and Agents from claims arising out of Vendor’s acts or omissions.</w:t>
      </w:r>
    </w:p>
    <w:p>
      <w:pPr>
        <w:pStyle w:val="ListParagraph"/>
        <w:numPr>
          <w:ilvl w:val="0"/>
          <w:numId w:val="2"/>
        </w:numPr>
        <w:spacing w:after="60" w:before="40" w:line="290"/>
      </w:pPr>
      <w:r>
        <w:rPr>
          <w:rFonts w:ascii="Lato" w:cs="Lato" w:eastAsia="Lato" w:hAnsi="Lato"/>
          <w:b/>
          <w:bCs/>
          <w:color w:val="173F35"/>
          <w:sz w:val="22"/>
          <w:szCs w:val="22"/>
        </w:rPr>
        <w:t xml:space="preserve">Compliance — </w:t>
      </w:r>
      <w:r>
        <w:rPr>
          <w:rFonts w:ascii="Lato" w:cs="Lato" w:eastAsia="Lato" w:hAnsi="Lato"/>
          <w:color w:val="1A1A1A"/>
          <w:sz w:val="22"/>
          <w:szCs w:val="22"/>
        </w:rPr>
        <w:t xml:space="preserve">Vendor shall comply with Fla. Stat. Ch. 718, Fla. Admin. Code Ch. 64E-9, OSHA HazCom requirements, and all other applicable federal, state, and local law.</w:t>
      </w:r>
    </w:p>
    <w:p>
      <w:pPr>
        <w:pStyle w:val="ListParagraph"/>
        <w:numPr>
          <w:ilvl w:val="0"/>
          <w:numId w:val="2"/>
        </w:numPr>
        <w:spacing w:after="60" w:before="40" w:line="290"/>
      </w:pPr>
      <w:r>
        <w:rPr>
          <w:rFonts w:ascii="Lato" w:cs="Lato" w:eastAsia="Lato" w:hAnsi="Lato"/>
          <w:b/>
          <w:bCs/>
          <w:color w:val="173F35"/>
          <w:sz w:val="22"/>
          <w:szCs w:val="22"/>
        </w:rPr>
        <w:t xml:space="preserve">Governing Law &amp; Venue — </w:t>
      </w:r>
      <w:r>
        <w:rPr>
          <w:rFonts w:ascii="Lato" w:cs="Lato" w:eastAsia="Lato" w:hAnsi="Lato"/>
          <w:color w:val="1A1A1A"/>
          <w:sz w:val="22"/>
          <w:szCs w:val="22"/>
        </w:rPr>
        <w:t xml:space="preserve">Laws of the State of Florida; venue in Collier County, Florida.</w:t>
      </w:r>
    </w:p>
    <w:p>
      <w:r>
        <w:br w:type="page"/>
      </w:r>
    </w:p>
    <w:p>
      <w:pPr>
        <w:spacing w:after="60" w:before="0"/>
      </w:pPr>
      <w:r>
        <w:rPr>
          <w:rFonts w:ascii="Lato" w:cs="Lato" w:eastAsia="Lato" w:hAnsi="Lato"/>
          <w:b/>
          <w:bCs/>
          <w:color w:val="C9A24A"/>
          <w:spacing w:val="100"/>
          <w:sz w:val="16"/>
          <w:szCs w:val="16"/>
        </w:rPr>
        <w:t xml:space="preserve">SECTION 11  /  FORM 3</w:t>
      </w:r>
    </w:p>
    <w:p>
      <w:pPr>
        <w:pStyle w:val="Heading1"/>
        <w:spacing w:after="160" w:before="280"/>
      </w:pPr>
      <w:r>
        <w:rPr>
          <w:rFonts w:ascii="Garamond" w:cs="Garamond" w:eastAsia="Garamond" w:hAnsi="Garamond"/>
          <w:b/>
          <w:bCs/>
          <w:color w:val="173F35"/>
          <w:sz w:val="40"/>
          <w:szCs w:val="40"/>
        </w:rPr>
        <w:t xml:space="preserve">Bid Sheet</w:t>
      </w:r>
    </w:p>
    <w:p>
      <w:pPr>
        <w:pBdr>
          <w:bottom w:val="single" w:color="C9A24A" w:sz="8" w:space="1"/>
        </w:pBdr>
        <w:spacing w:after="120" w:before="80"/>
      </w:pPr>
      <w:r>
        <w:t xml:space="preserve"/>
      </w:r>
    </w:p>
    <w:p>
      <w:pPr>
        <w:spacing w:after="160" w:before="0" w:line="300"/>
        <w:jc w:val="left"/>
      </w:pPr>
      <w:r>
        <w:rPr>
          <w:rFonts w:ascii="Lato" w:cs="Lato" w:eastAsia="Lato" w:hAnsi="Lato"/>
          <w:i/>
          <w:iCs/>
          <w:color w:val="5C5C5C"/>
          <w:sz w:val="22"/>
          <w:szCs w:val="22"/>
        </w:rPr>
        <w:t xml:space="preserve">Pricing inclusive of all state and local sales tax. Pricing valid sixty (60) days after the Proposal Due Date.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920"/>
        <w:gridCol w:w="1880"/>
        <w:gridCol w:w="2560"/>
      </w:tblGrid>
      <w:tr>
        <w:trPr>
          <w:tblHeader/>
        </w:trPr>
        <w:tc>
          <w:tcPr>
            <w:tcW w:type="dxa" w:w="4920"/>
            <w:tcBorders>
              <w:top w:val="single" w:color="173F35" w:sz="4"/>
              <w:left w:val="single" w:color="173F35" w:sz="4"/>
              <w:bottom w:val="single" w:color="173F35" w:sz="4"/>
              <w:right w:val="single" w:color="173F35" w:sz="4"/>
            </w:tcBorders>
            <w:shd w:fill="173F35" w:color="auto" w:val="clear"/>
            <w:tcMar>
              <w:top w:type="dxa" w:w="120"/>
              <w:left w:type="dxa" w:w="160"/>
              <w:bottom w:type="dxa" w:w="120"/>
              <w:right w:type="dxa" w:w="160"/>
            </w:tcMar>
          </w:tcPr>
          <w:p>
            <w:pPr>
              <w:spacing w:after="0" w:before="0" w:line="300"/>
              <w:jc w:val="left"/>
            </w:pPr>
            <w:r>
              <w:rPr>
                <w:rFonts w:ascii="Lato" w:cs="Lato" w:eastAsia="Lato" w:hAnsi="Lato"/>
                <w:b/>
                <w:bCs/>
                <w:color w:val="FFFFFF"/>
                <w:sz w:val="16"/>
                <w:szCs w:val="16"/>
              </w:rPr>
              <w:t xml:space="preserve">BID MATRIX</w:t>
            </w:r>
          </w:p>
        </w:tc>
        <w:tc>
          <w:tcPr>
            <w:tcW w:type="dxa" w:w="1880"/>
            <w:tcBorders>
              <w:top w:val="single" w:color="173F35" w:sz="4"/>
              <w:left w:val="single" w:color="173F35" w:sz="4"/>
              <w:bottom w:val="single" w:color="173F35" w:sz="4"/>
              <w:right w:val="single" w:color="173F35" w:sz="4"/>
            </w:tcBorders>
            <w:shd w:fill="173F35" w:color="auto" w:val="clear"/>
            <w:tcMar>
              <w:top w:type="dxa" w:w="120"/>
              <w:left w:type="dxa" w:w="160"/>
              <w:bottom w:type="dxa" w:w="120"/>
              <w:right w:type="dxa" w:w="160"/>
            </w:tcMar>
          </w:tcPr>
          <w:p>
            <w:pPr>
              <w:spacing w:after="0" w:before="0" w:line="300"/>
              <w:jc w:val="left"/>
            </w:pPr>
            <w:r>
              <w:rPr>
                <w:rFonts w:ascii="Lato" w:cs="Lato" w:eastAsia="Lato" w:hAnsi="Lato"/>
                <w:b/>
                <w:bCs/>
                <w:color w:val="FFFFFF"/>
                <w:sz w:val="16"/>
                <w:szCs w:val="16"/>
              </w:rPr>
              <w:t xml:space="preserve">MONTHLY</w:t>
            </w:r>
          </w:p>
        </w:tc>
        <w:tc>
          <w:tcPr>
            <w:tcW w:type="dxa" w:w="2560"/>
            <w:tcBorders>
              <w:top w:val="single" w:color="173F35" w:sz="4"/>
              <w:left w:val="single" w:color="173F35" w:sz="4"/>
              <w:bottom w:val="single" w:color="173F35" w:sz="4"/>
              <w:right w:val="single" w:color="173F35" w:sz="4"/>
            </w:tcBorders>
            <w:shd w:fill="173F35" w:color="auto" w:val="clear"/>
            <w:tcMar>
              <w:top w:type="dxa" w:w="120"/>
              <w:left w:type="dxa" w:w="160"/>
              <w:bottom w:type="dxa" w:w="120"/>
              <w:right w:type="dxa" w:w="160"/>
            </w:tcMar>
          </w:tcPr>
          <w:p>
            <w:pPr>
              <w:spacing w:after="0" w:before="0" w:line="300"/>
              <w:jc w:val="left"/>
            </w:pPr>
            <w:r>
              <w:rPr>
                <w:rFonts w:ascii="Lato" w:cs="Lato" w:eastAsia="Lato" w:hAnsi="Lato"/>
                <w:b/>
                <w:bCs/>
                <w:color w:val="FFFFFF"/>
                <w:sz w:val="16"/>
                <w:szCs w:val="16"/>
              </w:rPr>
              <w:t xml:space="preserve">ANNUAL</w:t>
            </w:r>
          </w:p>
        </w:tc>
      </w:tr>
      <w:tr>
        <w:tc>
          <w:tcPr>
            <w:tcW w:type="dxa" w:w="4920"/>
            <w:tcBorders>
              <w:top w:val="single" w:color="BFBFBF" w:sz="4"/>
              <w:left w:val="single" w:color="BFBFBF" w:sz="4"/>
              <w:bottom w:val="single" w:color="BFBFBF" w:sz="4"/>
              <w:right w:val="single" w:color="BFBFBF" w:sz="4"/>
            </w:tcBorders>
            <w:shd w:fill="F7F1DF" w:color="auto" w:val="clear"/>
            <w:tcMar>
              <w:top w:type="dxa" w:w="200"/>
              <w:left w:type="dxa" w:w="160"/>
              <w:bottom w:type="dxa" w:w="200"/>
              <w:right w:type="dxa" w:w="160"/>
            </w:tcMar>
          </w:tcPr>
          <w:p>
            <w:pPr>
              <w:spacing w:after="0" w:before="0" w:line="300"/>
              <w:jc w:val="left"/>
            </w:pPr>
            <w:r>
              <w:rPr>
                <w:rFonts w:ascii="Lato" w:cs="Lato" w:eastAsia="Lato" w:hAnsi="Lato"/>
                <w:color w:val="1A1A1A"/>
                <w:sz w:val="22"/>
                <w:szCs w:val="22"/>
              </w:rPr>
              <w:t xml:space="preserve">Base Recurring Service — Three (3) weekly chemical / mechanical visits per Section 3.2; chemicals included; cartridge cleans included quarterly</w:t>
            </w:r>
          </w:p>
        </w:tc>
        <w:tc>
          <w:tcPr>
            <w:tcW w:type="dxa" w:w="1880"/>
            <w:tcBorders>
              <w:top w:val="single" w:color="BFBFBF" w:sz="4"/>
              <w:left w:val="single" w:color="BFBFBF" w:sz="4"/>
              <w:bottom w:val="single" w:color="BFBFBF" w:sz="4"/>
              <w:right w:val="single" w:color="BFBFBF" w:sz="4"/>
            </w:tcBorders>
            <w:shd w:fill="F7F1DF" w:color="auto" w:val="clear"/>
            <w:tcMar>
              <w:top w:type="dxa" w:w="200"/>
              <w:left w:type="dxa" w:w="160"/>
              <w:bottom w:type="dxa" w:w="200"/>
              <w:right w:type="dxa" w:w="160"/>
            </w:tcMar>
          </w:tcPr>
          <w:p>
            <w:pPr>
              <w:spacing w:after="0" w:before="0" w:line="300"/>
              <w:jc w:val="left"/>
            </w:pPr>
            <w:r>
              <w:rPr>
                <w:rFonts w:ascii="Lato" w:cs="Lato" w:eastAsia="Lato" w:hAnsi="Lato"/>
                <w:color w:val="1A1A1A"/>
                <w:sz w:val="22"/>
                <w:szCs w:val="22"/>
              </w:rPr>
              <w:t xml:space="preserve"/>
            </w:r>
          </w:p>
        </w:tc>
        <w:tc>
          <w:tcPr>
            <w:tcW w:type="dxa" w:w="2560"/>
            <w:tcBorders>
              <w:top w:val="single" w:color="BFBFBF" w:sz="4"/>
              <w:left w:val="single" w:color="BFBFBF" w:sz="4"/>
              <w:bottom w:val="single" w:color="BFBFBF" w:sz="4"/>
              <w:right w:val="single" w:color="BFBFBF" w:sz="4"/>
            </w:tcBorders>
            <w:shd w:fill="F7F1DF" w:color="auto" w:val="clear"/>
            <w:tcMar>
              <w:top w:type="dxa" w:w="200"/>
              <w:left w:type="dxa" w:w="160"/>
              <w:bottom w:type="dxa" w:w="200"/>
              <w:right w:type="dxa" w:w="160"/>
            </w:tcMar>
          </w:tcPr>
          <w:p>
            <w:pPr>
              <w:spacing w:after="0" w:before="0" w:line="300"/>
              <w:jc w:val="left"/>
            </w:pPr>
            <w:r>
              <w:rPr>
                <w:rFonts w:ascii="Lato" w:cs="Lato" w:eastAsia="Lato" w:hAnsi="Lato"/>
                <w:color w:val="1A1A1A"/>
                <w:sz w:val="22"/>
                <w:szCs w:val="22"/>
              </w:rPr>
              <w:t xml:space="preserve"/>
            </w:r>
          </w:p>
        </w:tc>
      </w:tr>
      <w:tr>
        <w:tc>
          <w:tcPr>
            <w:tcW w:type="dxa" w:w="4920"/>
            <w:tcBorders>
              <w:top w:val="single" w:color="BFBFBF" w:sz="4"/>
              <w:left w:val="single" w:color="BFBFBF" w:sz="4"/>
              <w:bottom w:val="single" w:color="BFBFBF" w:sz="4"/>
              <w:right w:val="single" w:color="BFBFBF" w:sz="4"/>
            </w:tcBorders>
            <w:tcMar>
              <w:top w:type="dxa" w:w="200"/>
              <w:left w:type="dxa" w:w="160"/>
              <w:bottom w:type="dxa" w:w="200"/>
              <w:right w:type="dxa" w:w="160"/>
            </w:tcMar>
          </w:tcPr>
          <w:p>
            <w:pPr>
              <w:spacing w:after="0" w:before="0" w:line="300"/>
              <w:jc w:val="left"/>
            </w:pPr>
            <w:r>
              <w:rPr>
                <w:rFonts w:ascii="Lato" w:cs="Lato" w:eastAsia="Lato" w:hAnsi="Lato"/>
                <w:color w:val="1A1A1A"/>
                <w:sz w:val="22"/>
                <w:szCs w:val="22"/>
              </w:rPr>
              <w:t xml:space="preserve">Add-on — Annual cartridge replacement (per filter)</w:t>
            </w:r>
          </w:p>
        </w:tc>
        <w:tc>
          <w:tcPr>
            <w:tcW w:type="dxa" w:w="1880"/>
            <w:tcBorders>
              <w:top w:val="single" w:color="BFBFBF" w:sz="4"/>
              <w:left w:val="single" w:color="BFBFBF" w:sz="4"/>
              <w:bottom w:val="single" w:color="BFBFBF" w:sz="4"/>
              <w:right w:val="single" w:color="BFBFBF" w:sz="4"/>
            </w:tcBorders>
            <w:tcMar>
              <w:top w:type="dxa" w:w="200"/>
              <w:left w:type="dxa" w:w="160"/>
              <w:bottom w:type="dxa" w:w="200"/>
              <w:right w:type="dxa" w:w="160"/>
            </w:tcMar>
          </w:tcPr>
          <w:p>
            <w:pPr>
              <w:spacing w:after="0" w:before="0" w:line="300"/>
              <w:jc w:val="left"/>
            </w:pPr>
            <w:r>
              <w:rPr>
                <w:rFonts w:ascii="Lato" w:cs="Lato" w:eastAsia="Lato" w:hAnsi="Lato"/>
                <w:color w:val="1A1A1A"/>
                <w:sz w:val="22"/>
                <w:szCs w:val="22"/>
              </w:rPr>
              <w:t xml:space="preserve"/>
            </w:r>
          </w:p>
        </w:tc>
        <w:tc>
          <w:tcPr>
            <w:tcW w:type="dxa" w:w="2560"/>
            <w:tcBorders>
              <w:top w:val="single" w:color="BFBFBF" w:sz="4"/>
              <w:left w:val="single" w:color="BFBFBF" w:sz="4"/>
              <w:bottom w:val="single" w:color="BFBFBF" w:sz="4"/>
              <w:right w:val="single" w:color="BFBFBF" w:sz="4"/>
            </w:tcBorders>
            <w:tcMar>
              <w:top w:type="dxa" w:w="200"/>
              <w:left w:type="dxa" w:w="160"/>
              <w:bottom w:type="dxa" w:w="200"/>
              <w:right w:type="dxa" w:w="160"/>
            </w:tcMar>
          </w:tcPr>
          <w:p>
            <w:pPr>
              <w:spacing w:after="0" w:before="0" w:line="300"/>
              <w:jc w:val="left"/>
            </w:pPr>
            <w:r>
              <w:rPr>
                <w:rFonts w:ascii="Lato" w:cs="Lato" w:eastAsia="Lato" w:hAnsi="Lato"/>
                <w:color w:val="1A1A1A"/>
                <w:sz w:val="22"/>
                <w:szCs w:val="22"/>
              </w:rPr>
              <w:t xml:space="preserve"/>
            </w:r>
          </w:p>
        </w:tc>
      </w:tr>
      <w:tr>
        <w:tc>
          <w:tcPr>
            <w:tcW w:type="dxa" w:w="4920"/>
            <w:tcBorders>
              <w:top w:val="single" w:color="BFBFBF" w:sz="4"/>
              <w:left w:val="single" w:color="BFBFBF" w:sz="4"/>
              <w:bottom w:val="single" w:color="BFBFBF" w:sz="4"/>
              <w:right w:val="single" w:color="BFBFBF" w:sz="4"/>
            </w:tcBorders>
            <w:shd w:fill="F7F1DF" w:color="auto" w:val="clear"/>
            <w:tcMar>
              <w:top w:type="dxa" w:w="200"/>
              <w:left w:type="dxa" w:w="160"/>
              <w:bottom w:type="dxa" w:w="200"/>
              <w:right w:type="dxa" w:w="160"/>
            </w:tcMar>
          </w:tcPr>
          <w:p>
            <w:pPr>
              <w:spacing w:after="0" w:before="0" w:line="300"/>
              <w:jc w:val="left"/>
            </w:pPr>
            <w:r>
              <w:rPr>
                <w:rFonts w:ascii="Lato" w:cs="Lato" w:eastAsia="Lato" w:hAnsi="Lato"/>
                <w:color w:val="1A1A1A"/>
                <w:sz w:val="22"/>
                <w:szCs w:val="22"/>
              </w:rPr>
              <w:t xml:space="preserve">Add-on — Hurricane / tropical-storm secure-and-restart (per event)</w:t>
            </w:r>
          </w:p>
        </w:tc>
        <w:tc>
          <w:tcPr>
            <w:tcW w:type="dxa" w:w="1880"/>
            <w:tcBorders>
              <w:top w:val="single" w:color="BFBFBF" w:sz="4"/>
              <w:left w:val="single" w:color="BFBFBF" w:sz="4"/>
              <w:bottom w:val="single" w:color="BFBFBF" w:sz="4"/>
              <w:right w:val="single" w:color="BFBFBF" w:sz="4"/>
            </w:tcBorders>
            <w:shd w:fill="F7F1DF" w:color="auto" w:val="clear"/>
            <w:tcMar>
              <w:top w:type="dxa" w:w="200"/>
              <w:left w:type="dxa" w:w="160"/>
              <w:bottom w:type="dxa" w:w="200"/>
              <w:right w:type="dxa" w:w="160"/>
            </w:tcMar>
          </w:tcPr>
          <w:p>
            <w:pPr>
              <w:spacing w:after="0" w:before="0" w:line="300"/>
              <w:jc w:val="left"/>
            </w:pPr>
            <w:r>
              <w:rPr>
                <w:rFonts w:ascii="Lato" w:cs="Lato" w:eastAsia="Lato" w:hAnsi="Lato"/>
                <w:color w:val="1A1A1A"/>
                <w:sz w:val="22"/>
                <w:szCs w:val="22"/>
              </w:rPr>
              <w:t xml:space="preserve"/>
            </w:r>
          </w:p>
        </w:tc>
        <w:tc>
          <w:tcPr>
            <w:tcW w:type="dxa" w:w="2560"/>
            <w:tcBorders>
              <w:top w:val="single" w:color="BFBFBF" w:sz="4"/>
              <w:left w:val="single" w:color="BFBFBF" w:sz="4"/>
              <w:bottom w:val="single" w:color="BFBFBF" w:sz="4"/>
              <w:right w:val="single" w:color="BFBFBF" w:sz="4"/>
            </w:tcBorders>
            <w:shd w:fill="F7F1DF" w:color="auto" w:val="clear"/>
            <w:tcMar>
              <w:top w:type="dxa" w:w="200"/>
              <w:left w:type="dxa" w:w="160"/>
              <w:bottom w:type="dxa" w:w="200"/>
              <w:right w:type="dxa" w:w="160"/>
            </w:tcMar>
          </w:tcPr>
          <w:p>
            <w:pPr>
              <w:spacing w:after="0" w:before="0" w:line="300"/>
              <w:jc w:val="left"/>
            </w:pPr>
            <w:r>
              <w:rPr>
                <w:rFonts w:ascii="Lato" w:cs="Lato" w:eastAsia="Lato" w:hAnsi="Lato"/>
                <w:color w:val="1A1A1A"/>
                <w:sz w:val="22"/>
                <w:szCs w:val="22"/>
              </w:rPr>
              <w:t xml:space="preserve"/>
            </w:r>
          </w:p>
        </w:tc>
      </w:tr>
      <w:tr>
        <w:tc>
          <w:tcPr>
            <w:tcW w:type="dxa" w:w="4920"/>
            <w:tcBorders>
              <w:top w:val="single" w:color="BFBFBF" w:sz="4"/>
              <w:left w:val="single" w:color="BFBFBF" w:sz="4"/>
              <w:bottom w:val="single" w:color="BFBFBF" w:sz="4"/>
              <w:right w:val="single" w:color="BFBFBF" w:sz="4"/>
            </w:tcBorders>
            <w:tcMar>
              <w:top w:type="dxa" w:w="200"/>
              <w:left w:type="dxa" w:w="160"/>
              <w:bottom w:type="dxa" w:w="200"/>
              <w:right w:type="dxa" w:w="160"/>
            </w:tcMar>
          </w:tcPr>
          <w:p>
            <w:pPr>
              <w:spacing w:after="0" w:before="0" w:line="300"/>
              <w:jc w:val="left"/>
            </w:pPr>
            <w:r>
              <w:rPr>
                <w:rFonts w:ascii="Lato" w:cs="Lato" w:eastAsia="Lato" w:hAnsi="Lato"/>
                <w:color w:val="1A1A1A"/>
                <w:sz w:val="22"/>
                <w:szCs w:val="22"/>
              </w:rPr>
              <w:t xml:space="preserve">As-Needed Labor Rate — Pool Technician (per man-hour)</w:t>
            </w:r>
          </w:p>
        </w:tc>
        <w:tc>
          <w:tcPr>
            <w:tcW w:type="dxa" w:w="1880"/>
            <w:tcBorders>
              <w:top w:val="single" w:color="BFBFBF" w:sz="4"/>
              <w:left w:val="single" w:color="BFBFBF" w:sz="4"/>
              <w:bottom w:val="single" w:color="BFBFBF" w:sz="4"/>
              <w:right w:val="single" w:color="BFBFBF" w:sz="4"/>
            </w:tcBorders>
            <w:tcMar>
              <w:top w:type="dxa" w:w="200"/>
              <w:left w:type="dxa" w:w="160"/>
              <w:bottom w:type="dxa" w:w="200"/>
              <w:right w:type="dxa" w:w="160"/>
            </w:tcMar>
          </w:tcPr>
          <w:p>
            <w:pPr>
              <w:spacing w:after="0" w:before="0" w:line="300"/>
              <w:jc w:val="left"/>
            </w:pPr>
            <w:r>
              <w:rPr>
                <w:rFonts w:ascii="Lato" w:cs="Lato" w:eastAsia="Lato" w:hAnsi="Lato"/>
                <w:color w:val="1A1A1A"/>
                <w:sz w:val="22"/>
                <w:szCs w:val="22"/>
              </w:rPr>
              <w:t xml:space="preserve"/>
            </w:r>
          </w:p>
        </w:tc>
        <w:tc>
          <w:tcPr>
            <w:tcW w:type="dxa" w:w="2560"/>
            <w:tcBorders>
              <w:top w:val="single" w:color="BFBFBF" w:sz="4"/>
              <w:left w:val="single" w:color="BFBFBF" w:sz="4"/>
              <w:bottom w:val="single" w:color="BFBFBF" w:sz="4"/>
              <w:right w:val="single" w:color="BFBFBF" w:sz="4"/>
            </w:tcBorders>
            <w:tcMar>
              <w:top w:type="dxa" w:w="200"/>
              <w:left w:type="dxa" w:w="160"/>
              <w:bottom w:type="dxa" w:w="200"/>
              <w:right w:type="dxa" w:w="160"/>
            </w:tcMar>
          </w:tcPr>
          <w:p>
            <w:pPr>
              <w:spacing w:after="0" w:before="0" w:line="300"/>
              <w:jc w:val="left"/>
            </w:pPr>
            <w:r>
              <w:rPr>
                <w:rFonts w:ascii="Lato" w:cs="Lato" w:eastAsia="Lato" w:hAnsi="Lato"/>
                <w:color w:val="1A1A1A"/>
                <w:sz w:val="22"/>
                <w:szCs w:val="22"/>
              </w:rPr>
              <w:t xml:space="preserve"/>
            </w:r>
          </w:p>
        </w:tc>
      </w:tr>
      <w:tr>
        <w:tc>
          <w:tcPr>
            <w:tcW w:type="dxa" w:w="4920"/>
            <w:tcBorders>
              <w:top w:val="single" w:color="BFBFBF" w:sz="4"/>
              <w:left w:val="single" w:color="BFBFBF" w:sz="4"/>
              <w:bottom w:val="single" w:color="BFBFBF" w:sz="4"/>
              <w:right w:val="single" w:color="BFBFBF" w:sz="4"/>
            </w:tcBorders>
            <w:shd w:fill="F7F1DF" w:color="auto" w:val="clear"/>
            <w:tcMar>
              <w:top w:type="dxa" w:w="200"/>
              <w:left w:type="dxa" w:w="160"/>
              <w:bottom w:type="dxa" w:w="200"/>
              <w:right w:type="dxa" w:w="160"/>
            </w:tcMar>
          </w:tcPr>
          <w:p>
            <w:pPr>
              <w:spacing w:after="0" w:before="0" w:line="300"/>
              <w:jc w:val="left"/>
            </w:pPr>
            <w:r>
              <w:rPr>
                <w:rFonts w:ascii="Lato" w:cs="Lato" w:eastAsia="Lato" w:hAnsi="Lato"/>
                <w:color w:val="1A1A1A"/>
                <w:sz w:val="22"/>
                <w:szCs w:val="22"/>
              </w:rPr>
              <w:t xml:space="preserve">As-Needed Labor Rate — Pool Mechanical Specialist (per man-hour)</w:t>
            </w:r>
          </w:p>
        </w:tc>
        <w:tc>
          <w:tcPr>
            <w:tcW w:type="dxa" w:w="1880"/>
            <w:tcBorders>
              <w:top w:val="single" w:color="BFBFBF" w:sz="4"/>
              <w:left w:val="single" w:color="BFBFBF" w:sz="4"/>
              <w:bottom w:val="single" w:color="BFBFBF" w:sz="4"/>
              <w:right w:val="single" w:color="BFBFBF" w:sz="4"/>
            </w:tcBorders>
            <w:shd w:fill="F7F1DF" w:color="auto" w:val="clear"/>
            <w:tcMar>
              <w:top w:type="dxa" w:w="200"/>
              <w:left w:type="dxa" w:w="160"/>
              <w:bottom w:type="dxa" w:w="200"/>
              <w:right w:type="dxa" w:w="160"/>
            </w:tcMar>
          </w:tcPr>
          <w:p>
            <w:pPr>
              <w:spacing w:after="0" w:before="0" w:line="300"/>
              <w:jc w:val="left"/>
            </w:pPr>
            <w:r>
              <w:rPr>
                <w:rFonts w:ascii="Lato" w:cs="Lato" w:eastAsia="Lato" w:hAnsi="Lato"/>
                <w:color w:val="1A1A1A"/>
                <w:sz w:val="22"/>
                <w:szCs w:val="22"/>
              </w:rPr>
              <w:t xml:space="preserve"/>
            </w:r>
          </w:p>
        </w:tc>
        <w:tc>
          <w:tcPr>
            <w:tcW w:type="dxa" w:w="2560"/>
            <w:tcBorders>
              <w:top w:val="single" w:color="BFBFBF" w:sz="4"/>
              <w:left w:val="single" w:color="BFBFBF" w:sz="4"/>
              <w:bottom w:val="single" w:color="BFBFBF" w:sz="4"/>
              <w:right w:val="single" w:color="BFBFBF" w:sz="4"/>
            </w:tcBorders>
            <w:shd w:fill="F7F1DF" w:color="auto" w:val="clear"/>
            <w:tcMar>
              <w:top w:type="dxa" w:w="200"/>
              <w:left w:type="dxa" w:w="160"/>
              <w:bottom w:type="dxa" w:w="200"/>
              <w:right w:type="dxa" w:w="160"/>
            </w:tcMar>
          </w:tcPr>
          <w:p>
            <w:pPr>
              <w:spacing w:after="0" w:before="0" w:line="300"/>
              <w:jc w:val="left"/>
            </w:pPr>
            <w:r>
              <w:rPr>
                <w:rFonts w:ascii="Lato" w:cs="Lato" w:eastAsia="Lato" w:hAnsi="Lato"/>
                <w:color w:val="1A1A1A"/>
                <w:sz w:val="22"/>
                <w:szCs w:val="22"/>
              </w:rPr>
              <w:t xml:space="preserve"/>
            </w:r>
          </w:p>
        </w:tc>
      </w:tr>
      <w:tr>
        <w:tc>
          <w:tcPr>
            <w:tcW w:type="dxa" w:w="4920"/>
            <w:tcBorders>
              <w:top w:val="single" w:color="BFBFBF" w:sz="4"/>
              <w:left w:val="single" w:color="BFBFBF" w:sz="4"/>
              <w:bottom w:val="single" w:color="BFBFBF" w:sz="4"/>
              <w:right w:val="single" w:color="BFBFBF" w:sz="4"/>
            </w:tcBorders>
            <w:tcMar>
              <w:top w:type="dxa" w:w="200"/>
              <w:left w:type="dxa" w:w="160"/>
              <w:bottom w:type="dxa" w:w="200"/>
              <w:right w:type="dxa" w:w="160"/>
            </w:tcMar>
          </w:tcPr>
          <w:p>
            <w:pPr>
              <w:spacing w:after="0" w:before="0" w:line="300"/>
              <w:jc w:val="left"/>
            </w:pPr>
            <w:r>
              <w:rPr>
                <w:rFonts w:ascii="Lato" w:cs="Lato" w:eastAsia="Lato" w:hAnsi="Lato"/>
                <w:color w:val="1A1A1A"/>
                <w:sz w:val="22"/>
                <w:szCs w:val="22"/>
              </w:rPr>
              <w:t xml:space="preserve">Materials / Pass-Through Markup (%)</w:t>
            </w:r>
          </w:p>
        </w:tc>
        <w:tc>
          <w:tcPr>
            <w:tcW w:type="dxa" w:w="1880"/>
            <w:tcBorders>
              <w:top w:val="single" w:color="BFBFBF" w:sz="4"/>
              <w:left w:val="single" w:color="BFBFBF" w:sz="4"/>
              <w:bottom w:val="single" w:color="BFBFBF" w:sz="4"/>
              <w:right w:val="single" w:color="BFBFBF" w:sz="4"/>
            </w:tcBorders>
            <w:tcMar>
              <w:top w:type="dxa" w:w="200"/>
              <w:left w:type="dxa" w:w="160"/>
              <w:bottom w:type="dxa" w:w="200"/>
              <w:right w:type="dxa" w:w="160"/>
            </w:tcMar>
          </w:tcPr>
          <w:p>
            <w:pPr>
              <w:spacing w:after="0" w:before="0" w:line="300"/>
              <w:jc w:val="left"/>
            </w:pPr>
            <w:r>
              <w:rPr>
                <w:rFonts w:ascii="Lato" w:cs="Lato" w:eastAsia="Lato" w:hAnsi="Lato"/>
                <w:color w:val="1A1A1A"/>
                <w:sz w:val="22"/>
                <w:szCs w:val="22"/>
              </w:rPr>
              <w:t xml:space="preserve"/>
            </w:r>
          </w:p>
        </w:tc>
        <w:tc>
          <w:tcPr>
            <w:tcW w:type="dxa" w:w="2560"/>
            <w:tcBorders>
              <w:top w:val="single" w:color="BFBFBF" w:sz="4"/>
              <w:left w:val="single" w:color="BFBFBF" w:sz="4"/>
              <w:bottom w:val="single" w:color="BFBFBF" w:sz="4"/>
              <w:right w:val="single" w:color="BFBFBF" w:sz="4"/>
            </w:tcBorders>
            <w:tcMar>
              <w:top w:type="dxa" w:w="200"/>
              <w:left w:type="dxa" w:w="160"/>
              <w:bottom w:type="dxa" w:w="200"/>
              <w:right w:type="dxa" w:w="160"/>
            </w:tcMar>
          </w:tcPr>
          <w:p>
            <w:pPr>
              <w:spacing w:after="0" w:before="0" w:line="300"/>
              <w:jc w:val="left"/>
            </w:pPr>
            <w:r>
              <w:rPr>
                <w:rFonts w:ascii="Lato" w:cs="Lato" w:eastAsia="Lato" w:hAnsi="Lato"/>
                <w:color w:val="1A1A1A"/>
                <w:sz w:val="22"/>
                <w:szCs w:val="22"/>
              </w:rPr>
              <w:t xml:space="preserve"/>
            </w:r>
          </w:p>
        </w:tc>
      </w:tr>
      <w:tr>
        <w:tc>
          <w:tcPr>
            <w:tcW w:type="dxa" w:w="4920"/>
            <w:tcBorders>
              <w:top w:val="single" w:color="C9A24A" w:sz="4"/>
              <w:left w:val="single" w:color="C9A24A" w:sz="4"/>
              <w:bottom w:val="single" w:color="C9A24A" w:sz="4"/>
              <w:right w:val="single" w:color="C9A24A" w:sz="4"/>
            </w:tcBorders>
            <w:shd w:fill="EAE2C7" w:color="auto" w:val="clear"/>
            <w:tcMar>
              <w:top w:type="dxa" w:w="200"/>
              <w:left w:type="dxa" w:w="160"/>
              <w:bottom w:type="dxa" w:w="200"/>
              <w:right w:type="dxa" w:w="160"/>
            </w:tcMar>
          </w:tcPr>
          <w:p>
            <w:pPr>
              <w:spacing w:after="0" w:before="0" w:line="300"/>
              <w:jc w:val="left"/>
            </w:pPr>
            <w:r>
              <w:rPr>
                <w:rFonts w:ascii="Lato" w:cs="Lato" w:eastAsia="Lato" w:hAnsi="Lato"/>
                <w:b/>
                <w:bCs/>
                <w:color w:val="173F35"/>
                <w:sz w:val="22"/>
                <w:szCs w:val="22"/>
              </w:rPr>
              <w:t xml:space="preserve">TOTAL — All-Inclusive</w:t>
            </w:r>
          </w:p>
        </w:tc>
        <w:tc>
          <w:tcPr>
            <w:tcW w:type="dxa" w:w="1880"/>
            <w:tcBorders>
              <w:top w:val="single" w:color="C9A24A" w:sz="4"/>
              <w:left w:val="single" w:color="C9A24A" w:sz="4"/>
              <w:bottom w:val="single" w:color="C9A24A" w:sz="4"/>
              <w:right w:val="single" w:color="C9A24A" w:sz="4"/>
            </w:tcBorders>
            <w:shd w:fill="EAE2C7" w:color="auto" w:val="clear"/>
            <w:tcMar>
              <w:top w:type="dxa" w:w="200"/>
              <w:left w:type="dxa" w:w="160"/>
              <w:bottom w:type="dxa" w:w="200"/>
              <w:right w:type="dxa" w:w="160"/>
            </w:tcMar>
          </w:tcPr>
          <w:p>
            <w:pPr>
              <w:spacing w:after="0" w:before="0" w:line="300"/>
              <w:jc w:val="left"/>
            </w:pPr>
            <w:r>
              <w:rPr>
                <w:rFonts w:ascii="Lato" w:cs="Lato" w:eastAsia="Lato" w:hAnsi="Lato"/>
                <w:b/>
                <w:bCs/>
                <w:color w:val="173F35"/>
                <w:sz w:val="22"/>
                <w:szCs w:val="22"/>
              </w:rPr>
              <w:t xml:space="preserve"/>
            </w:r>
          </w:p>
        </w:tc>
        <w:tc>
          <w:tcPr>
            <w:tcW w:type="dxa" w:w="2560"/>
            <w:tcBorders>
              <w:top w:val="single" w:color="C9A24A" w:sz="4"/>
              <w:left w:val="single" w:color="C9A24A" w:sz="4"/>
              <w:bottom w:val="single" w:color="C9A24A" w:sz="4"/>
              <w:right w:val="single" w:color="C9A24A" w:sz="4"/>
            </w:tcBorders>
            <w:shd w:fill="EAE2C7" w:color="auto" w:val="clear"/>
            <w:tcMar>
              <w:top w:type="dxa" w:w="200"/>
              <w:left w:type="dxa" w:w="160"/>
              <w:bottom w:type="dxa" w:w="200"/>
              <w:right w:type="dxa" w:w="160"/>
            </w:tcMar>
          </w:tcPr>
          <w:p>
            <w:pPr>
              <w:spacing w:after="0" w:before="0" w:line="300"/>
              <w:jc w:val="left"/>
            </w:pPr>
            <w:r>
              <w:rPr>
                <w:rFonts w:ascii="Lato" w:cs="Lato" w:eastAsia="Lato" w:hAnsi="Lato"/>
                <w:b/>
                <w:bCs/>
                <w:color w:val="173F35"/>
                <w:sz w:val="22"/>
                <w:szCs w:val="22"/>
              </w:rPr>
              <w:t xml:space="preserve"/>
            </w:r>
          </w:p>
        </w:tc>
      </w:tr>
    </w:tbl>
    <w:p>
      <w:r>
        <w:br w:type="page"/>
      </w:r>
    </w:p>
    <w:p>
      <w:pPr>
        <w:spacing w:after="60" w:before="0"/>
      </w:pPr>
      <w:r>
        <w:rPr>
          <w:rFonts w:ascii="Lato" w:cs="Lato" w:eastAsia="Lato" w:hAnsi="Lato"/>
          <w:b/>
          <w:bCs/>
          <w:color w:val="C9A24A"/>
          <w:spacing w:val="100"/>
          <w:sz w:val="16"/>
          <w:szCs w:val="16"/>
        </w:rPr>
        <w:t xml:space="preserve">SECTION 12  /  FORM 4</w:t>
      </w:r>
    </w:p>
    <w:p>
      <w:pPr>
        <w:pStyle w:val="Heading1"/>
        <w:spacing w:after="160" w:before="280"/>
      </w:pPr>
      <w:r>
        <w:rPr>
          <w:rFonts w:ascii="Garamond" w:cs="Garamond" w:eastAsia="Garamond" w:hAnsi="Garamond"/>
          <w:b/>
          <w:bCs/>
          <w:color w:val="173F35"/>
          <w:sz w:val="40"/>
          <w:szCs w:val="40"/>
        </w:rPr>
        <w:t xml:space="preserve">Bid Authorization &amp; Affidavit</w:t>
      </w:r>
    </w:p>
    <w:p>
      <w:pPr>
        <w:pBdr>
          <w:bottom w:val="single" w:color="C9A24A" w:sz="8" w:space="1"/>
        </w:pBdr>
        <w:spacing w:after="120" w:before="80"/>
      </w:pPr>
      <w:r>
        <w:t xml:space="preserve"/>
      </w:r>
    </w:p>
    <w:p>
      <w:pPr>
        <w:spacing w:after="160" w:before="0" w:line="320"/>
        <w:jc w:val="left"/>
      </w:pPr>
      <w:r>
        <w:rPr>
          <w:rFonts w:ascii="Lato" w:cs="Lato" w:eastAsia="Lato" w:hAnsi="Lato"/>
          <w:color w:val="1A1A1A"/>
          <w:sz w:val="22"/>
          <w:szCs w:val="22"/>
        </w:rPr>
        <w:t xml:space="preserve">By signing below, the undersigned officer of the proposing company certifies, under penalty of perjury, the following:</w:t>
      </w:r>
    </w:p>
    <w:p>
      <w:pPr>
        <w:pStyle w:val="ListParagraph"/>
        <w:numPr>
          <w:ilvl w:val="0"/>
          <w:numId w:val="3"/>
        </w:numPr>
        <w:spacing w:after="100" w:before="60" w:line="300"/>
      </w:pPr>
      <w:r>
        <w:rPr>
          <w:rFonts w:ascii="Lato" w:cs="Lato" w:eastAsia="Lato" w:hAnsi="Lato"/>
          <w:color w:val="1A1A1A"/>
          <w:sz w:val="22"/>
          <w:szCs w:val="22"/>
        </w:rPr>
        <w:t xml:space="preserve">The proposing company has examined the RFP and its specifications and has prepared the Bid Sheet with care.</w:t>
      </w:r>
    </w:p>
    <w:p>
      <w:pPr>
        <w:pStyle w:val="ListParagraph"/>
        <w:numPr>
          <w:ilvl w:val="0"/>
          <w:numId w:val="3"/>
        </w:numPr>
        <w:spacing w:after="100" w:before="60" w:line="300"/>
      </w:pPr>
      <w:r>
        <w:rPr>
          <w:rFonts w:ascii="Lato" w:cs="Lato" w:eastAsia="Lato" w:hAnsi="Lato"/>
          <w:color w:val="1A1A1A"/>
          <w:sz w:val="22"/>
          <w:szCs w:val="22"/>
        </w:rPr>
        <w:t xml:space="preserve">Neither the proposing company, nor any of its agents, officers, employees, or affiliates, has — directly or indirectly — entered into any agreement, participated in any collusion, or otherwise taken any action in restraint of free competitive bidding in connection with this RFP.</w:t>
      </w:r>
    </w:p>
    <w:p>
      <w:pPr>
        <w:pStyle w:val="ListParagraph"/>
        <w:numPr>
          <w:ilvl w:val="0"/>
          <w:numId w:val="3"/>
        </w:numPr>
        <w:spacing w:after="100" w:before="60" w:line="300"/>
      </w:pPr>
      <w:r>
        <w:rPr>
          <w:rFonts w:ascii="Lato" w:cs="Lato" w:eastAsia="Lato" w:hAnsi="Lato"/>
          <w:color w:val="1A1A1A"/>
          <w:sz w:val="22"/>
          <w:szCs w:val="22"/>
        </w:rPr>
        <w:t xml:space="preserve">The proposing company has disclosed all known conflicts of interest as required by Section 6 of this RFP, in compliance with Fla. Stat. §§ 718.3027 and 720.3033 as applicable.</w:t>
      </w:r>
    </w:p>
    <w:p>
      <w:pPr>
        <w:pStyle w:val="ListParagraph"/>
        <w:numPr>
          <w:ilvl w:val="0"/>
          <w:numId w:val="3"/>
        </w:numPr>
        <w:spacing w:after="100" w:before="60" w:line="300"/>
      </w:pPr>
      <w:r>
        <w:rPr>
          <w:rFonts w:ascii="Lato" w:cs="Lato" w:eastAsia="Lato" w:hAnsi="Lato"/>
          <w:color w:val="1A1A1A"/>
          <w:sz w:val="22"/>
          <w:szCs w:val="22"/>
        </w:rPr>
        <w:t xml:space="preserve">The proposing company is currently licensed by the Florida Department of Business and Professional Regulation as a Commercial Pool / Spa Servicing Contractor, and the qualifying agent named on the Vendor Information Form is in good standing.</w:t>
      </w:r>
    </w:p>
    <w:p>
      <w:pPr>
        <w:pStyle w:val="ListParagraph"/>
        <w:numPr>
          <w:ilvl w:val="0"/>
          <w:numId w:val="3"/>
        </w:numPr>
        <w:spacing w:after="100" w:before="60" w:line="300"/>
      </w:pPr>
      <w:r>
        <w:rPr>
          <w:rFonts w:ascii="Lato" w:cs="Lato" w:eastAsia="Lato" w:hAnsi="Lato"/>
          <w:color w:val="1A1A1A"/>
          <w:sz w:val="22"/>
          <w:szCs w:val="22"/>
        </w:rPr>
        <w:t xml:space="preserve">All work proposed will be performed at the proposing company’s sole cost and expense, in the manner provided in the RFP and at the times specified.</w:t>
      </w:r>
    </w:p>
    <w:p>
      <w:pPr>
        <w:pStyle w:val="ListParagraph"/>
        <w:numPr>
          <w:ilvl w:val="0"/>
          <w:numId w:val="3"/>
        </w:numPr>
        <w:spacing w:after="100" w:before="60" w:line="300"/>
      </w:pPr>
      <w:r>
        <w:rPr>
          <w:rFonts w:ascii="Lato" w:cs="Lato" w:eastAsia="Lato" w:hAnsi="Lato"/>
          <w:color w:val="1A1A1A"/>
          <w:sz w:val="22"/>
          <w:szCs w:val="22"/>
        </w:rPr>
        <w:t xml:space="preserve">Pricing on the Bid Sheet is firm and valid for sixty (60) calendar days after the Proposal Due Date.</w:t>
      </w:r>
    </w:p>
    <w:p>
      <w:pPr>
        <w:spacing w:after="8" w:before="8"/>
      </w:pPr>
      <w:r>
        <w:rPr>
          <w:sz w:val="2"/>
          <w:szCs w:val="2"/>
        </w:rPr>
        <w:t xml:space="preserve"/>
      </w:r>
    </w:p>
    <w:p>
      <w:pPr>
        <w:pBdr>
          <w:bottom w:val="single" w:color="173F35" w:sz="6" w:space="1"/>
        </w:pBdr>
        <w:spacing w:after="12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color="auto" w:sz="0"/>
              <w:left w:val="none" w:color="auto" w:sz="0"/>
              <w:bottom w:val="none" w:color="auto" w:sz="0"/>
              <w:right w:val="none" w:color="auto" w:sz="0"/>
            </w:tcBorders>
            <w:tcMar>
              <w:top w:type="dxa" w:w="200"/>
              <w:left w:type="dxa" w:w="0"/>
              <w:bottom w:type="dxa" w:w="200"/>
              <w:right w:type="dxa" w:w="200"/>
            </w:tcMar>
          </w:tcPr>
          <w:p>
            <w:pPr>
              <w:spacing w:after="60" w:before="320"/>
            </w:pPr>
            <w:r>
              <w:rPr>
                <w:rFonts w:ascii="Lato" w:cs="Lato" w:eastAsia="Lato" w:hAnsi="Lato"/>
                <w:b/>
                <w:bCs/>
                <w:color w:val="1A1A1A"/>
                <w:sz w:val="22"/>
                <w:szCs w:val="22"/>
              </w:rPr>
              <w:t xml:space="preserve">Signature</w:t>
            </w:r>
            <w:r>
              <w:t xml:space="preserve">  </w:t>
            </w:r>
            <w:r>
              <w:rPr>
                <w:rFonts w:ascii="Lato" w:cs="Lato" w:eastAsia="Lato" w:hAnsi="Lato"/>
                <w:sz w:val="22"/>
                <w:szCs w:val="22"/>
                <w:u w:val="single" w:color="1A1A1A"/>
              </w:rPr>
              <w:t xml:space="preserve">                                                                                </w:t>
            </w:r>
          </w:p>
          <w:p>
            <w:pPr>
              <w:spacing w:after="60" w:before="0" w:line="300"/>
              <w:jc w:val="left"/>
            </w:pPr>
            <w:r>
              <w:rPr>
                <w:rFonts w:ascii="Lato" w:cs="Lato" w:eastAsia="Lato" w:hAnsi="Lato"/>
                <w:color w:val="5C5C5C"/>
                <w:sz w:val="18"/>
                <w:szCs w:val="18"/>
              </w:rPr>
              <w:t xml:space="preserve">Print Name: ____________________________________</w:t>
            </w:r>
          </w:p>
          <w:p>
            <w:pPr>
              <w:spacing w:after="60" w:before="0" w:line="300"/>
              <w:jc w:val="left"/>
            </w:pPr>
            <w:r>
              <w:rPr>
                <w:rFonts w:ascii="Lato" w:cs="Lato" w:eastAsia="Lato" w:hAnsi="Lato"/>
                <w:color w:val="5C5C5C"/>
                <w:sz w:val="18"/>
                <w:szCs w:val="18"/>
              </w:rPr>
              <w:t xml:space="preserve">Title: ____________________________________</w:t>
            </w:r>
          </w:p>
        </w:tc>
        <w:tc>
          <w:tcPr>
            <w:tcW w:type="dxa" w:w="4680"/>
            <w:tcBorders>
              <w:top w:val="none" w:color="auto" w:sz="0"/>
              <w:left w:val="none" w:color="auto" w:sz="0"/>
              <w:bottom w:val="none" w:color="auto" w:sz="0"/>
              <w:right w:val="none" w:color="auto" w:sz="0"/>
            </w:tcBorders>
            <w:tcMar>
              <w:top w:type="dxa" w:w="200"/>
              <w:left w:type="dxa" w:w="200"/>
              <w:bottom w:type="dxa" w:w="200"/>
              <w:right w:type="dxa" w:w="0"/>
            </w:tcMar>
          </w:tcPr>
          <w:p>
            <w:pPr>
              <w:spacing w:after="60" w:before="320"/>
            </w:pPr>
            <w:r>
              <w:rPr>
                <w:rFonts w:ascii="Lato" w:cs="Lato" w:eastAsia="Lato" w:hAnsi="Lato"/>
                <w:b/>
                <w:bCs/>
                <w:color w:val="1A1A1A"/>
                <w:sz w:val="22"/>
                <w:szCs w:val="22"/>
              </w:rPr>
              <w:t xml:space="preserve">Company Name</w:t>
            </w:r>
            <w:r>
              <w:t xml:space="preserve">  </w:t>
            </w:r>
            <w:r>
              <w:rPr>
                <w:rFonts w:ascii="Lato" w:cs="Lato" w:eastAsia="Lato" w:hAnsi="Lato"/>
                <w:sz w:val="22"/>
                <w:szCs w:val="22"/>
                <w:u w:val="single" w:color="1A1A1A"/>
              </w:rPr>
              <w:t xml:space="preserve">                                                                                </w:t>
            </w:r>
          </w:p>
          <w:p>
            <w:pPr>
              <w:spacing w:after="60" w:before="0" w:line="300"/>
              <w:jc w:val="left"/>
            </w:pPr>
            <w:r>
              <w:rPr>
                <w:rFonts w:ascii="Lato" w:cs="Lato" w:eastAsia="Lato" w:hAnsi="Lato"/>
                <w:color w:val="5C5C5C"/>
                <w:sz w:val="18"/>
                <w:szCs w:val="18"/>
              </w:rPr>
              <w:t xml:space="preserve">Date: ____________________________________</w:t>
            </w:r>
          </w:p>
          <w:p>
            <w:pPr>
              <w:spacing w:after="60" w:before="0" w:line="300"/>
              <w:jc w:val="left"/>
            </w:pPr>
            <w:r>
              <w:rPr>
                <w:rFonts w:ascii="Lato" w:cs="Lato" w:eastAsia="Lato" w:hAnsi="Lato"/>
                <w:color w:val="5C5C5C"/>
                <w:sz w:val="18"/>
                <w:szCs w:val="18"/>
              </w:rPr>
              <w:t xml:space="preserve">RFP Reference #: ____________________________</w:t>
            </w:r>
          </w:p>
        </w:tc>
      </w:tr>
    </w:tbl>
    <w:p>
      <w:r>
        <w:br w:type="page"/>
      </w:r>
    </w:p>
    <w:p>
      <w:pPr>
        <w:spacing w:after="60" w:before="0"/>
      </w:pPr>
      <w:r>
        <w:rPr>
          <w:rFonts w:ascii="Lato" w:cs="Lato" w:eastAsia="Lato" w:hAnsi="Lato"/>
          <w:b/>
          <w:bCs/>
          <w:color w:val="C9A24A"/>
          <w:spacing w:val="100"/>
          <w:sz w:val="16"/>
          <w:szCs w:val="16"/>
        </w:rPr>
        <w:t xml:space="preserve">DISCLAIMER</w:t>
      </w:r>
    </w:p>
    <w:p>
      <w:pPr>
        <w:pStyle w:val="Heading2"/>
        <w:spacing w:after="160" w:before="280"/>
      </w:pPr>
      <w:r>
        <w:rPr>
          <w:rFonts w:ascii="Garamond" w:cs="Garamond" w:eastAsia="Garamond" w:hAnsi="Garamond"/>
          <w:b/>
          <w:bCs/>
          <w:color w:val="173F35"/>
          <w:sz w:val="30"/>
          <w:szCs w:val="30"/>
        </w:rPr>
        <w:t xml:space="preserve">CIC-SC Disclaimer</w:t>
      </w:r>
    </w:p>
    <w:p>
      <w:pPr>
        <w:pBdr>
          <w:bottom w:val="single" w:color="C9A24A" w:sz="8" w:space="1"/>
        </w:pBdr>
        <w:spacing w:after="120" w:before="80"/>
      </w:pPr>
      <w:r>
        <w:t xml:space="preserve"/>
      </w:r>
    </w:p>
    <w:p>
      <w:pPr>
        <w:spacing w:after="200" w:before="0" w:line="280"/>
        <w:jc w:val="left"/>
      </w:pPr>
      <w:r>
        <w:rPr>
          <w:rFonts w:ascii="Lato" w:cs="Lato" w:eastAsia="Lato" w:hAnsi="Lato"/>
          <w:color w:val="5C5C5C"/>
          <w:sz w:val="18"/>
          <w:szCs w:val="18"/>
        </w:rPr>
        <w:t xml:space="preserve">This resource is provided by the Common Interest Community Standards Council (CIC-SC) for general educational and informational purposes only. Community association laws and requirements vary by state and may change over time. This material is not legal, financial, insurance, reserve, or professional management advice and should not be relied upon as a substitute for consulting qualified professionals familiar with your specific circumstances and jurisdiction. While CIC-SC strives for accuracy and relevance, no guarantee is made regarding completeness, accuracy, or compliance with applicable laws.</w:t>
      </w:r>
    </w:p>
    <w:p>
      <w:pPr>
        <w:spacing w:after="40" w:before="0" w:line="300"/>
        <w:jc w:val="left"/>
      </w:pPr>
      <w:r>
        <w:rPr>
          <w:rFonts w:ascii="Lato" w:cs="Lato" w:eastAsia="Lato" w:hAnsi="Lato"/>
          <w:b/>
          <w:bCs/>
          <w:color w:val="173F35"/>
          <w:sz w:val="18"/>
          <w:szCs w:val="18"/>
        </w:rPr>
        <w:t xml:space="preserve">© Common Interest Community Standards Council (CIC-SC)</w:t>
      </w:r>
    </w:p>
    <w:p>
      <w:pPr>
        <w:spacing w:after="0" w:before="0" w:line="300"/>
        <w:jc w:val="left"/>
      </w:pPr>
      <w:r>
        <w:rPr>
          <w:rFonts w:ascii="Lato" w:cs="Lato" w:eastAsia="Lato" w:hAnsi="Lato"/>
          <w:b/>
          <w:bCs/>
          <w:color w:val="C9A24A"/>
          <w:sz w:val="18"/>
          <w:szCs w:val="18"/>
        </w:rPr>
        <w:t xml:space="preserve">CIC-SC.org</w:t>
      </w:r>
    </w:p>
    <w:sectPr>
      <w:headerReference w:type="default" r:id="rId9"/>
      <w:footerReference w:type="default" r:id="rId10"/>
      <w:pgSz w:w="12240" w:h="15840" w:orient="portrait"/>
      <w:pgMar w:top="1080" w:right="1440" w:bottom="1296" w:left="1440" w:header="540" w:footer="540"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r>
      <w:t xml:space="preserve"/>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173F35" w:sz="6" w:space="6"/>
      </w:pBdr>
      <w:spacing w:after="80" w:before="60"/>
    </w:pPr>
    <w:r>
      <w:t xml:space="preserve"/>
    </w:r>
  </w:p>
  <w:p>
    <w:pPr>
      <w:tabs>
        <w:tab w:val="center" w:pos="4680"/>
        <w:tab w:val="right" w:pos="9026"/>
      </w:tabs>
      <w:spacing w:after="60" w:before="0"/>
    </w:pPr>
    <w:r>
      <w:rPr>
        <w:rFonts w:ascii="Lato" w:cs="Lato" w:eastAsia="Lato" w:hAnsi="Lato"/>
        <w:b/>
        <w:bCs/>
        <w:color w:val="173F35"/>
        <w:sz w:val="16"/>
        <w:szCs w:val="16"/>
      </w:rPr>
      <w:t xml:space="preserve">CIC-SC.org</w:t>
    </w:r>
    <w:r>
      <w:t xml:space="preserve">	</w:t>
    </w:r>
    <w:r>
      <w:rPr>
        <w:rFonts w:ascii="Lato" w:cs="Lato" w:eastAsia="Lato" w:hAnsi="Lato"/>
        <w:i/>
        <w:iCs/>
        <w:color w:val="5C5C5C"/>
        <w:sz w:val="16"/>
        <w:szCs w:val="16"/>
      </w:rPr>
      <w:t xml:space="preserve">Sample RFP  •  Pool &amp; Spa Service  •  Florida</w:t>
    </w:r>
    <w:r>
      <w:t xml:space="preserve">	</w:t>
    </w:r>
    <w:r>
      <w:rPr>
        <w:rFonts w:ascii="Lato" w:cs="Lato" w:eastAsia="Lato" w:hAnsi="Lato"/>
        <w:color w:val="5C5C5C"/>
        <w:sz w:val="16"/>
        <w:szCs w:val="16"/>
      </w:rPr>
      <w:t xml:space="preserve">Page </w:t>
    </w:r>
    <w:r>
      <w:rPr>
        <w:rFonts w:ascii="Lato" w:cs="Lato" w:eastAsia="Lato" w:hAnsi="Lato"/>
        <w:b/>
        <w:bCs/>
        <w:color w:val="173F35"/>
        <w:sz w:val="16"/>
        <w:szCs w:val="16"/>
      </w:rPr>
      <w:fldChar w:fldCharType="begin"/>
      <w:instrText xml:space="preserve">PAGE</w:instrText>
      <w:fldChar w:fldCharType="separate"/>
      <w:fldChar w:fldCharType="end"/>
    </w:r>
    <w:r>
      <w:rPr>
        <w:rFonts w:ascii="Lato" w:cs="Lato" w:eastAsia="Lato" w:hAnsi="Lato"/>
        <w:color w:val="5C5C5C"/>
        <w:sz w:val="16"/>
        <w:szCs w:val="16"/>
      </w:rPr>
      <w:t xml:space="preserve"> / </w:t>
    </w:r>
    <w:r>
      <w:rPr>
        <w:rFonts w:ascii="Lato" w:cs="Lato" w:eastAsia="Lato" w:hAnsi="Lato"/>
        <w:color w:val="5C5C5C"/>
        <w:sz w:val="16"/>
        <w:szCs w:val="16"/>
      </w:rPr>
      <w:fldChar w:fldCharType="begin"/>
      <w:instrText xml:space="preserve">NUMPAGES</w:instrText>
      <w:fldChar w:fldCharType="separate"/>
      <w:fldChar w:fldCharType="end"/>
    </w:r>
  </w:p>
  <w:p>
    <w:pPr>
      <w:spacing w:after="0" w:before="0"/>
    </w:pPr>
    <w:r>
      <w:rPr>
        <w:rFonts w:ascii="Lato" w:cs="Lato" w:eastAsia="Lato" w:hAnsi="Lato"/>
        <w:i/>
        <w:iCs/>
        <w:color w:val="5C5C5C"/>
        <w:sz w:val="16"/>
        <w:szCs w:val="16"/>
      </w:rPr>
      <w:t xml:space="preserve">© Common Interest Community Standards Council (CIC-SC). For educational use. Not legal advice. See Disclaimer on final page.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t xml:space="preserve"/>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tabs>
        <w:tab w:val="right" w:pos="9026"/>
      </w:tabs>
      <w:spacing w:after="0" w:before="0"/>
    </w:pPr>
    <w:r>
      <w:rPr>
        <w:rFonts w:ascii="Lato" w:cs="Lato" w:eastAsia="Lato" w:hAnsi="Lato"/>
        <w:b/>
        <w:bCs/>
        <w:color w:val="173F35"/>
        <w:spacing w:val="60"/>
        <w:sz w:val="16"/>
        <w:szCs w:val="16"/>
      </w:rPr>
      <w:t xml:space="preserve">Common Interest Community Standards Council</w:t>
    </w:r>
    <w:r>
      <w:t xml:space="preserve">	</w:t>
    </w:r>
    <w:r>
      <w:rPr>
        <w:rFonts w:ascii="Lato" w:cs="Lato" w:eastAsia="Lato" w:hAnsi="Lato"/>
        <w:i/>
        <w:iCs/>
        <w:color w:val="C9A24A"/>
        <w:sz w:val="16"/>
        <w:szCs w:val="16"/>
      </w:rPr>
      <w:t xml:space="preserve">Sample RFP — Pool &amp; Spa (FL)</w:t>
    </w:r>
  </w:p>
  <w:p>
    <w:pPr>
      <w:pBdr>
        <w:bottom w:val="single" w:color="C9A24A" w:sz="6" w:space="1"/>
      </w:pBdr>
      <w:spacing w:after="0" w:before="60"/>
    </w:pPr>
    <w:r>
      <w:t xml:space="preserv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left"/>
      <w:pPr>
        <w:ind w:left="720" w:hanging="360"/>
      </w:pPr>
    </w:lvl>
  </w:abstractNum>
  <w:abstractNum w:abstractNumId="3" w15:restartNumberingAfterBreak="0">
    <w:multiLevelType w:val="hybridMultilevel"/>
    <w:lvl w:ilvl="0" w15:tentative="1">
      <w:start w:val="1"/>
      <w:numFmt w:val="lowerLetter"/>
      <w:lvlText w:val="%1)"/>
      <w:lvlJc w:val="left"/>
      <w:pPr>
        <w:ind w:left="1080" w:hanging="360"/>
      </w:pPr>
    </w:lvl>
  </w:abstractNum>
  <w:abstractNum w:abstractNumId="4"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080" w:hanging="360"/>
      </w:pPr>
    </w:lvl>
  </w:abstractNum>
  <w:num w:numId="1">
    <w:abstractNumId w:val="1"/>
    <w:lvlOverride w:ilvl="0">
      <w:startOverride w:val="1"/>
    </w:lvlOverride>
  </w:num>
  <w:num w:numId="2">
    <w:abstractNumId w:val="4"/>
    <w:lvlOverride w:ilvl="0">
      <w:startOverride w:val="1"/>
    </w:lvlOverride>
  </w:num>
  <w:num w:numId="3">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ato" w:cs="Lato" w:eastAsia="Lato" w:hAnsi="Lato"/>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280"/>
      <w:outlineLvl w:val="0"/>
    </w:pPr>
    <w:rPr>
      <w:rFonts w:ascii="Garamond" w:cs="Garamond" w:eastAsia="Garamond" w:hAnsi="Garamond"/>
      <w:b/>
      <w:bCs/>
      <w:color w:val="173F35"/>
      <w:sz w:val="40"/>
      <w:szCs w:val="40"/>
    </w:rPr>
  </w:style>
  <w:style w:type="paragraph" w:styleId="Heading2">
    <w:name w:val="Heading 2"/>
    <w:basedOn w:val="Normal"/>
    <w:next w:val="Normal"/>
    <w:qFormat/>
    <w:pPr>
      <w:spacing w:after="120" w:before="240"/>
      <w:outlineLvl w:val="1"/>
    </w:pPr>
    <w:rPr>
      <w:rFonts w:ascii="Garamond" w:cs="Garamond" w:eastAsia="Garamond" w:hAnsi="Garamond"/>
      <w:b/>
      <w:bCs/>
      <w:color w:val="173F35"/>
      <w:sz w:val="30"/>
      <w:szCs w:val="30"/>
    </w:rPr>
  </w:style>
  <w:style w:type="paragraph" w:styleId="Heading3">
    <w:name w:val="Heading 3"/>
    <w:basedOn w:val="Normal"/>
    <w:next w:val="Normal"/>
    <w:qFormat/>
    <w:pPr>
      <w:spacing w:after="100" w:before="200"/>
      <w:outlineLvl w:val="2"/>
    </w:pPr>
    <w:rPr>
      <w:rFonts w:ascii="Garamond" w:cs="Garamond" w:eastAsia="Garamond" w:hAnsi="Garamond"/>
      <w:b/>
      <w:bCs/>
      <w:color w:val="173F35"/>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header" Target="header2.xml"/><Relationship Id="rId10" Type="http://schemas.openxmlformats.org/officeDocument/2006/relationships/footer" Target="footer2.xml"/><Relationship Id="rId11"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er2.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word/_rels/header2.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Tarpon Bay Condominium Association, Inc. — Sample RFP, Pool &amp; Spa Service</dc:title>
  <dc:creator>Common Interest Community Standards Council (CIC-SC)</dc:creator>
  <dc:description>CIC-SC standalone RFP draft (Florida, illustrative).</dc:description>
  <cp:lastModifiedBy>Un-named</cp:lastModifiedBy>
  <cp:revision>1</cp:revision>
  <dcterms:created xsi:type="dcterms:W3CDTF">2026-05-10T20:32:01.461Z</dcterms:created>
  <dcterms:modified xsi:type="dcterms:W3CDTF">2026-05-10T20:32:01.461Z</dcterms:modified>
</cp:coreProperties>
</file>

<file path=docProps/custom.xml><?xml version="1.0" encoding="utf-8"?>
<Properties xmlns="http://schemas.openxmlformats.org/officeDocument/2006/custom-properties" xmlns:vt="http://schemas.openxmlformats.org/officeDocument/2006/docPropsVTypes"/>
</file>