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RFP  /  Standalone Draft / Tier 3–4 Professional Services</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Community</w:t>
      </w:r>
    </w:p>
    <w:p>
      <w:pPr>
        <w:spacing w:after="240" w:before="0"/>
        <w:jc w:val="left"/>
      </w:pPr>
      <w:r>
        <w:rPr>
          <w:rFonts w:ascii="Garamond" w:cs="Garamond" w:eastAsia="Garamond" w:hAnsi="Garamond"/>
          <w:i/>
          <w:iCs/>
          <w:color w:val="173F35"/>
          <w:sz w:val="60"/>
          <w:szCs w:val="60"/>
        </w:rPr>
        <w:t xml:space="preserve">Management Services</w:t>
      </w:r>
    </w:p>
    <w:p>
      <w:pPr>
        <w:spacing w:after="1200" w:before="80"/>
        <w:jc w:val="left"/>
      </w:pPr>
      <w:r>
        <w:rPr>
          <w:rFonts w:ascii="Lato" w:cs="Lato" w:eastAsia="Lato" w:hAnsi="Lato"/>
          <w:color w:val="1A1A1A"/>
          <w:sz w:val="24"/>
          <w:szCs w:val="24"/>
        </w:rPr>
        <w:t xml:space="preserve">Sample RFP for community management services at Tarpon Bay Condominium Association, Inc., a fictional Florida residential condominium. Three-year initial term, performance-based, Fla. Stat. § 718.3025-compliant.</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Professional Services  •  Florida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Condominium Boards  •  Self-Managed Associations  •  Management Search Committees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RFP Tier 3/4 Adoption-Ready Template  •  Comparative Proposal Evaluation Worksheet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names, dates, dollar values, unit counts, and amenity specifications are illustrative. Replace with your association’s information before issuing. The structure, scope, references requirements, and contract terms reflect CIC-SC best practice for a Florida condominium management contract.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 718.3025 REMINDER</w:t>
            </w:r>
          </w:p>
          <w:p>
            <w:pPr>
              <w:spacing w:after="0" w:before="0" w:line="300"/>
              <w:jc w:val="left"/>
            </w:pPr>
            <w:r>
              <w:rPr>
                <w:rFonts w:ascii="Lato" w:cs="Lato" w:eastAsia="Lato" w:hAnsi="Lato"/>
                <w:color w:val="1A1A1A"/>
                <w:sz w:val="22"/>
                <w:szCs w:val="22"/>
              </w:rPr>
              <w:t xml:space="preserve">Florida statute imposes specific content requirements on condominium management contracts (scope, duties, term, termination, indemnity, financial controls). The resulting contract will be drafted by counsel to ensure § 718.3025 compliance. Vendor-supplied agreements often miss required provisions; this RFP makes clear the Association will use its own form.</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Tarpon Bay Condominium Association, Inc.</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1820 Tarpon Bay Drive, Naples, Florida 34104</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of Operation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Florida</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Professional Services — Community Management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Community Management Services Engagement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2026-09-MGMT</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Estimated Annual Value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$108,000 – $156,000 (full management fee)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Funding Source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Operating Fund — line item 6100</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36-month initial term beginning April 1, 2027, with two (2) optional one-year renewals at the Association’s sole discretion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Primary Point of Contact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Susan Reilly, Board Vice President (Search Committee Chair)</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rfp@tarponbay-condo.example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(239) 555-0184</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Project Background &amp; Context</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2.1  About the Association</w:t>
      </w:r>
    </w:p>
    <w:p>
      <w:pPr>
        <w:pStyle w:val="ListParagraph"/>
        <w:numPr>
          <w:ilvl w:val="0"/>
          <w:numId w:val="2"/>
        </w:numPr>
        <w:spacing w:after="60" w:before="40" w:line="290"/>
      </w:pPr>
      <w:r>
        <w:rPr>
          <w:rFonts w:ascii="Lato" w:cs="Lato" w:eastAsia="Lato" w:hAnsi="Lato"/>
          <w:color w:val="1A1A1A"/>
          <w:sz w:val="22"/>
          <w:szCs w:val="22"/>
        </w:rPr>
        <w:t xml:space="preserve">84-unit residential condominium subject to Fla. Stat. Ch. 718, originally constructed 2003, owner-controlled since 2008.</w:t>
      </w:r>
    </w:p>
    <w:p>
      <w:pPr>
        <w:pStyle w:val="ListParagraph"/>
        <w:numPr>
          <w:ilvl w:val="0"/>
          <w:numId w:val="2"/>
        </w:numPr>
        <w:spacing w:after="60" w:before="40" w:line="290"/>
      </w:pPr>
      <w:r>
        <w:rPr>
          <w:rFonts w:ascii="Lato" w:cs="Lato" w:eastAsia="Lato" w:hAnsi="Lato"/>
          <w:color w:val="1A1A1A"/>
          <w:sz w:val="22"/>
          <w:szCs w:val="22"/>
        </w:rPr>
        <w:t xml:space="preserve">Two five-story mid-rise buildings plus pool deck, fitness center, kayak launch, and 102 covered parking spaces.</w:t>
      </w:r>
    </w:p>
    <w:p>
      <w:pPr>
        <w:pStyle w:val="ListParagraph"/>
        <w:numPr>
          <w:ilvl w:val="0"/>
          <w:numId w:val="2"/>
        </w:numPr>
        <w:spacing w:after="60" w:before="40" w:line="290"/>
      </w:pPr>
      <w:r>
        <w:rPr>
          <w:rFonts w:ascii="Lato" w:cs="Lato" w:eastAsia="Lato" w:hAnsi="Lato"/>
          <w:color w:val="1A1A1A"/>
          <w:sz w:val="22"/>
          <w:szCs w:val="22"/>
        </w:rPr>
        <w:t xml:space="preserve">Annual operating budget approximately $1.4M; reserve balance approximately $2.1M as of December 31, 2025.</w:t>
      </w:r>
    </w:p>
    <w:p>
      <w:pPr>
        <w:pStyle w:val="ListParagraph"/>
        <w:numPr>
          <w:ilvl w:val="0"/>
          <w:numId w:val="2"/>
        </w:numPr>
        <w:spacing w:after="60" w:before="40" w:line="290"/>
      </w:pPr>
      <w:r>
        <w:rPr>
          <w:rFonts w:ascii="Lato" w:cs="Lato" w:eastAsia="Lato" w:hAnsi="Lato"/>
          <w:color w:val="1A1A1A"/>
          <w:sz w:val="22"/>
          <w:szCs w:val="22"/>
        </w:rPr>
        <w:t xml:space="preserve">Currently managed by an outgoing professional management firm; current contract expires March 31, 2027.</w:t>
      </w:r>
    </w:p>
    <w:p>
      <w:pPr>
        <w:pStyle w:val="Heading3"/>
        <w:spacing w:after="160" w:before="280"/>
      </w:pPr>
      <w:r>
        <w:rPr>
          <w:rFonts w:ascii="Garamond" w:cs="Garamond" w:eastAsia="Garamond" w:hAnsi="Garamond"/>
          <w:b/>
          <w:bCs/>
          <w:color w:val="173F35"/>
          <w:sz w:val="26"/>
          <w:szCs w:val="26"/>
        </w:rPr>
        <w:t xml:space="preserve">2.2  Business Need</w:t>
      </w:r>
    </w:p>
    <w:p>
      <w:pPr>
        <w:spacing w:after="200" w:before="0" w:line="320"/>
        <w:jc w:val="left"/>
      </w:pPr>
      <w:r>
        <w:rPr>
          <w:rFonts w:ascii="Lato" w:cs="Lato" w:eastAsia="Lato" w:hAnsi="Lato"/>
          <w:color w:val="1A1A1A"/>
          <w:sz w:val="22"/>
          <w:szCs w:val="22"/>
        </w:rPr>
        <w:t xml:space="preserve">The Association’s current three-year management agreement expires March 31, 2027. The Board has elected to issue this RFP to (a) evaluate the market, (b) confirm the engagement is at fair-market terms, and (c) consider candidates with stronger Florida § 718-specific expertise — including the new Florida structural integrity and milestone-inspection requirements applicable to condominium buildings three stories and higher. The incumbent is welcome to participate in the RFP.</w:t>
      </w:r>
    </w:p>
    <w:p>
      <w:pPr>
        <w:pStyle w:val="Heading3"/>
        <w:spacing w:after="160" w:before="280"/>
      </w:pPr>
      <w:r>
        <w:rPr>
          <w:rFonts w:ascii="Garamond" w:cs="Garamond" w:eastAsia="Garamond" w:hAnsi="Garamond"/>
          <w:b/>
          <w:bCs/>
          <w:color w:val="173F35"/>
          <w:sz w:val="26"/>
          <w:szCs w:val="26"/>
        </w:rPr>
        <w:t xml:space="preserve">2.3  Underlying Documents</w:t>
      </w:r>
    </w:p>
    <w:p>
      <w:pPr>
        <w:pStyle w:val="ListParagraph"/>
        <w:numPr>
          <w:ilvl w:val="0"/>
          <w:numId w:val="2"/>
        </w:numPr>
        <w:spacing w:after="60" w:before="40" w:line="290"/>
      </w:pPr>
      <w:r>
        <w:rPr>
          <w:rFonts w:ascii="Lato" w:cs="Lato" w:eastAsia="Lato" w:hAnsi="Lato"/>
          <w:color w:val="1A1A1A"/>
          <w:sz w:val="22"/>
          <w:szCs w:val="22"/>
        </w:rPr>
        <w:t xml:space="preserve">Association’s Declaration, Bylaws, and Rules (excerpts in Attachment A)</w:t>
      </w:r>
    </w:p>
    <w:p>
      <w:pPr>
        <w:pStyle w:val="ListParagraph"/>
        <w:numPr>
          <w:ilvl w:val="0"/>
          <w:numId w:val="2"/>
        </w:numPr>
        <w:spacing w:after="60" w:before="40" w:line="290"/>
      </w:pPr>
      <w:r>
        <w:rPr>
          <w:rFonts w:ascii="Lato" w:cs="Lato" w:eastAsia="Lato" w:hAnsi="Lato"/>
          <w:color w:val="1A1A1A"/>
          <w:sz w:val="22"/>
          <w:szCs w:val="22"/>
        </w:rPr>
        <w:t xml:space="preserve">Most recent three (3) fiscal year-end audited financial statements (Attachment B)</w:t>
      </w:r>
    </w:p>
    <w:p>
      <w:pPr>
        <w:pStyle w:val="ListParagraph"/>
        <w:numPr>
          <w:ilvl w:val="0"/>
          <w:numId w:val="2"/>
        </w:numPr>
        <w:spacing w:after="60" w:before="40" w:line="290"/>
      </w:pPr>
      <w:r>
        <w:rPr>
          <w:rFonts w:ascii="Lato" w:cs="Lato" w:eastAsia="Lato" w:hAnsi="Lato"/>
          <w:color w:val="1A1A1A"/>
          <w:sz w:val="22"/>
          <w:szCs w:val="22"/>
        </w:rPr>
        <w:t xml:space="preserve">Current annual operating budget and reserve study summary (Attachment C)</w:t>
      </w:r>
    </w:p>
    <w:p>
      <w:pPr>
        <w:pStyle w:val="ListParagraph"/>
        <w:numPr>
          <w:ilvl w:val="0"/>
          <w:numId w:val="2"/>
        </w:numPr>
        <w:spacing w:after="60" w:before="40" w:line="290"/>
      </w:pPr>
      <w:r>
        <w:rPr>
          <w:rFonts w:ascii="Lato" w:cs="Lato" w:eastAsia="Lato" w:hAnsi="Lato"/>
          <w:color w:val="1A1A1A"/>
          <w:sz w:val="22"/>
          <w:szCs w:val="22"/>
        </w:rPr>
        <w:t xml:space="preserve">Most recent milestone inspection report (Attachment D, if applicable)</w:t>
      </w:r>
    </w:p>
    <w:p>
      <w:pPr>
        <w:pStyle w:val="ListParagraph"/>
        <w:numPr>
          <w:ilvl w:val="0"/>
          <w:numId w:val="2"/>
        </w:numPr>
        <w:spacing w:after="60" w:before="40" w:line="290"/>
      </w:pPr>
      <w:r>
        <w:rPr>
          <w:rFonts w:ascii="Lato" w:cs="Lato" w:eastAsia="Lato" w:hAnsi="Lato"/>
          <w:color w:val="1A1A1A"/>
          <w:sz w:val="22"/>
          <w:szCs w:val="22"/>
        </w:rPr>
        <w:t xml:space="preserve">Current vendor contract summary (vendor names redacted; pricing visible)</w:t>
      </w:r>
    </w:p>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Schedule of Milestones</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MILESTONE</w:t>
            </w:r>
          </w:p>
        </w:tc>
        <w:tc>
          <w:tcPr>
            <w:tcW w:type="dxa" w:w="39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 released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September 25,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Kickoff meeting (mandatory)</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9, 2026  •  10:00 AM  •  Clubhouse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23,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to questions</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October 28,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Proposals due (sealed)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November 13, 2026  •  5:00 PM</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November 16 – December 4,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Shortlist notification</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December 7,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Vendor presentations</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December 14 – 16, 2026</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Best and Final Offer (BAFO) due</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December 22, 2026</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Notice of Intent to Award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January 12, 2027</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negotiation</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January 13 – February 13, 2027</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Transition planning</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February 16 – March 31, 2027</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start  /  Engagement begins</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April 1, 2027</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Statement of Work</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4.1  Scope of Services</w:t>
      </w:r>
    </w:p>
    <w:p>
      <w:pPr>
        <w:pStyle w:val="ListParagraph"/>
        <w:numPr>
          <w:ilvl w:val="0"/>
          <w:numId w:val="2"/>
        </w:numPr>
        <w:spacing w:after="60" w:before="40" w:line="290"/>
      </w:pPr>
      <w:r>
        <w:rPr>
          <w:rFonts w:ascii="Lato" w:cs="Lato" w:eastAsia="Lato" w:hAnsi="Lato"/>
          <w:b/>
          <w:bCs/>
          <w:color w:val="173F35"/>
          <w:sz w:val="22"/>
          <w:szCs w:val="22"/>
        </w:rPr>
        <w:t xml:space="preserve">Administrative and Board Support — </w:t>
      </w:r>
      <w:r>
        <w:rPr>
          <w:rFonts w:ascii="Lato" w:cs="Lato" w:eastAsia="Lato" w:hAnsi="Lato"/>
          <w:color w:val="1A1A1A"/>
          <w:sz w:val="22"/>
          <w:szCs w:val="22"/>
        </w:rPr>
        <w:t xml:space="preserve">agenda preparation; meeting notice distribution per Fla. Stat. § 718.112; meeting attendance and minute drafting; Board / committee support; document retention; member roster maintenance.</w:t>
      </w:r>
    </w:p>
    <w:p>
      <w:pPr>
        <w:pStyle w:val="ListParagraph"/>
        <w:numPr>
          <w:ilvl w:val="0"/>
          <w:numId w:val="2"/>
        </w:numPr>
        <w:spacing w:after="60" w:before="40" w:line="290"/>
      </w:pPr>
      <w:r>
        <w:rPr>
          <w:rFonts w:ascii="Lato" w:cs="Lato" w:eastAsia="Lato" w:hAnsi="Lato"/>
          <w:b/>
          <w:bCs/>
          <w:color w:val="173F35"/>
          <w:sz w:val="22"/>
          <w:szCs w:val="22"/>
        </w:rPr>
        <w:t xml:space="preserve">Financial Management — </w:t>
      </w:r>
      <w:r>
        <w:rPr>
          <w:rFonts w:ascii="Lato" w:cs="Lato" w:eastAsia="Lato" w:hAnsi="Lato"/>
          <w:color w:val="1A1A1A"/>
          <w:sz w:val="22"/>
          <w:szCs w:val="22"/>
        </w:rPr>
        <w:t xml:space="preserve">accounts receivable (assessment billing, collections, lien filings); accounts payable; monthly financial reporting; annual budget preparation support; year-end audit support; reserve study coordination.</w:t>
      </w:r>
    </w:p>
    <w:p>
      <w:pPr>
        <w:pStyle w:val="ListParagraph"/>
        <w:numPr>
          <w:ilvl w:val="0"/>
          <w:numId w:val="2"/>
        </w:numPr>
        <w:spacing w:after="60" w:before="40" w:line="290"/>
      </w:pPr>
      <w:r>
        <w:rPr>
          <w:rFonts w:ascii="Lato" w:cs="Lato" w:eastAsia="Lato" w:hAnsi="Lato"/>
          <w:b/>
          <w:bCs/>
          <w:color w:val="173F35"/>
          <w:sz w:val="22"/>
          <w:szCs w:val="22"/>
        </w:rPr>
        <w:t xml:space="preserve">Operations &amp; Maintenance — </w:t>
      </w:r>
      <w:r>
        <w:rPr>
          <w:rFonts w:ascii="Lato" w:cs="Lato" w:eastAsia="Lato" w:hAnsi="Lato"/>
          <w:color w:val="1A1A1A"/>
          <w:sz w:val="22"/>
          <w:szCs w:val="22"/>
        </w:rPr>
        <w:t xml:space="preserve">vendor management; preventive maintenance scheduling; work order processing; emergency response coordination; insurance claims liaison.</w:t>
      </w:r>
    </w:p>
    <w:p>
      <w:pPr>
        <w:pStyle w:val="ListParagraph"/>
        <w:numPr>
          <w:ilvl w:val="0"/>
          <w:numId w:val="2"/>
        </w:numPr>
        <w:spacing w:after="60" w:before="40" w:line="290"/>
      </w:pPr>
      <w:r>
        <w:rPr>
          <w:rFonts w:ascii="Lato" w:cs="Lato" w:eastAsia="Lato" w:hAnsi="Lato"/>
          <w:b/>
          <w:bCs/>
          <w:color w:val="173F35"/>
          <w:sz w:val="22"/>
          <w:szCs w:val="22"/>
        </w:rPr>
        <w:t xml:space="preserve">Compliance &amp; Reporting — </w:t>
      </w:r>
      <w:r>
        <w:rPr>
          <w:rFonts w:ascii="Lato" w:cs="Lato" w:eastAsia="Lato" w:hAnsi="Lato"/>
          <w:color w:val="1A1A1A"/>
          <w:sz w:val="22"/>
          <w:szCs w:val="22"/>
        </w:rPr>
        <w:t xml:space="preserve">Fla. Stat. Ch. 718 compliance support; structural integrity reserve study (SIRS) and milestone inspection tracking; annual filings; Division of Florida Condominiums, Timeshares, and Mobile Homes correspondence as needed.</w:t>
      </w:r>
    </w:p>
    <w:p>
      <w:pPr>
        <w:pStyle w:val="ListParagraph"/>
        <w:numPr>
          <w:ilvl w:val="0"/>
          <w:numId w:val="2"/>
        </w:numPr>
        <w:spacing w:after="60" w:before="40" w:line="290"/>
      </w:pPr>
      <w:r>
        <w:rPr>
          <w:rFonts w:ascii="Lato" w:cs="Lato" w:eastAsia="Lato" w:hAnsi="Lato"/>
          <w:b/>
          <w:bCs/>
          <w:color w:val="173F35"/>
          <w:sz w:val="22"/>
          <w:szCs w:val="22"/>
        </w:rPr>
        <w:t xml:space="preserve">Member Communications — </w:t>
      </w:r>
      <w:r>
        <w:rPr>
          <w:rFonts w:ascii="Lato" w:cs="Lato" w:eastAsia="Lato" w:hAnsi="Lato"/>
          <w:color w:val="1A1A1A"/>
          <w:sz w:val="22"/>
          <w:szCs w:val="22"/>
        </w:rPr>
        <w:t xml:space="preserve">weekly bulletin; community portal management; community announcements; ARB / architectural review submission processing; rules and covenants enforcement support.</w:t>
      </w:r>
    </w:p>
    <w:p>
      <w:pPr>
        <w:pStyle w:val="ListParagraph"/>
        <w:numPr>
          <w:ilvl w:val="0"/>
          <w:numId w:val="2"/>
        </w:numPr>
        <w:spacing w:after="60" w:before="40" w:line="290"/>
      </w:pPr>
      <w:r>
        <w:rPr>
          <w:rFonts w:ascii="Lato" w:cs="Lato" w:eastAsia="Lato" w:hAnsi="Lato"/>
          <w:b/>
          <w:bCs/>
          <w:color w:val="173F35"/>
          <w:sz w:val="22"/>
          <w:szCs w:val="22"/>
        </w:rPr>
        <w:t xml:space="preserve">Capital Project Support — </w:t>
      </w:r>
      <w:r>
        <w:rPr>
          <w:rFonts w:ascii="Lato" w:cs="Lato" w:eastAsia="Lato" w:hAnsi="Lato"/>
          <w:color w:val="1A1A1A"/>
          <w:sz w:val="22"/>
          <w:szCs w:val="22"/>
        </w:rPr>
        <w:t xml:space="preserve">RFP issuance and management; contractor coordination; project oversight; reserve fund draws.</w:t>
      </w:r>
    </w:p>
    <w:p>
      <w:pPr>
        <w:pStyle w:val="Heading3"/>
        <w:spacing w:after="160" w:before="280"/>
      </w:pPr>
      <w:r>
        <w:rPr>
          <w:rFonts w:ascii="Garamond" w:cs="Garamond" w:eastAsia="Garamond" w:hAnsi="Garamond"/>
          <w:b/>
          <w:bCs/>
          <w:color w:val="173F35"/>
          <w:sz w:val="26"/>
          <w:szCs w:val="26"/>
        </w:rPr>
        <w:t xml:space="preserve">4.2  Performance Standards</w:t>
      </w:r>
    </w:p>
    <w:p>
      <w:pPr>
        <w:pStyle w:val="ListParagraph"/>
        <w:numPr>
          <w:ilvl w:val="0"/>
          <w:numId w:val="2"/>
        </w:numPr>
        <w:spacing w:after="60" w:before="40" w:line="290"/>
      </w:pPr>
      <w:r>
        <w:rPr>
          <w:rFonts w:ascii="Lato" w:cs="Lato" w:eastAsia="Lato" w:hAnsi="Lato"/>
          <w:color w:val="1A1A1A"/>
          <w:sz w:val="22"/>
          <w:szCs w:val="22"/>
        </w:rPr>
        <w:t xml:space="preserve">Dedicated Community Association Manager (CAM) — Florida-licensed under Fla. Stat. § 468.4334 — assigned and named, with hours of availability stated.</w:t>
      </w:r>
    </w:p>
    <w:p>
      <w:pPr>
        <w:pStyle w:val="ListParagraph"/>
        <w:numPr>
          <w:ilvl w:val="0"/>
          <w:numId w:val="2"/>
        </w:numPr>
        <w:spacing w:after="60" w:before="40" w:line="290"/>
      </w:pPr>
      <w:r>
        <w:rPr>
          <w:rFonts w:ascii="Lato" w:cs="Lato" w:eastAsia="Lato" w:hAnsi="Lato"/>
          <w:color w:val="1A1A1A"/>
          <w:sz w:val="22"/>
          <w:szCs w:val="22"/>
        </w:rPr>
        <w:t xml:space="preserve">Monthly financial reporting delivered to the Board by the 15th of each month following the reporting period.</w:t>
      </w:r>
    </w:p>
    <w:p>
      <w:pPr>
        <w:pStyle w:val="ListParagraph"/>
        <w:numPr>
          <w:ilvl w:val="0"/>
          <w:numId w:val="2"/>
        </w:numPr>
        <w:spacing w:after="60" w:before="40" w:line="290"/>
      </w:pPr>
      <w:r>
        <w:rPr>
          <w:rFonts w:ascii="Lato" w:cs="Lato" w:eastAsia="Lato" w:hAnsi="Lato"/>
          <w:color w:val="1A1A1A"/>
          <w:sz w:val="22"/>
          <w:szCs w:val="22"/>
        </w:rPr>
        <w:t xml:space="preserve">All meeting notices delivered in compliance with Fla. Stat. § 718.112 timing requirements.</w:t>
      </w:r>
    </w:p>
    <w:p>
      <w:pPr>
        <w:pStyle w:val="ListParagraph"/>
        <w:numPr>
          <w:ilvl w:val="0"/>
          <w:numId w:val="2"/>
        </w:numPr>
        <w:spacing w:after="60" w:before="40" w:line="290"/>
      </w:pPr>
      <w:r>
        <w:rPr>
          <w:rFonts w:ascii="Lato" w:cs="Lato" w:eastAsia="Lato" w:hAnsi="Lato"/>
          <w:color w:val="1A1A1A"/>
          <w:sz w:val="22"/>
          <w:szCs w:val="22"/>
        </w:rPr>
        <w:t xml:space="preserve">Owner correspondence acknowledged within 48 hours; response within 5 business days unless requiring Board action.</w:t>
      </w:r>
    </w:p>
    <w:p>
      <w:pPr>
        <w:pStyle w:val="ListParagraph"/>
        <w:numPr>
          <w:ilvl w:val="0"/>
          <w:numId w:val="2"/>
        </w:numPr>
        <w:spacing w:after="60" w:before="40" w:line="290"/>
      </w:pPr>
      <w:r>
        <w:rPr>
          <w:rFonts w:ascii="Lato" w:cs="Lato" w:eastAsia="Lato" w:hAnsi="Lato"/>
          <w:color w:val="1A1A1A"/>
          <w:sz w:val="22"/>
          <w:szCs w:val="22"/>
        </w:rPr>
        <w:t xml:space="preserve">Emergency response within 4 hours during normal business hours; same-day response after hours for life / safety / property issues.</w:t>
      </w:r>
    </w:p>
    <w:p>
      <w:pPr>
        <w:pStyle w:val="ListParagraph"/>
        <w:numPr>
          <w:ilvl w:val="0"/>
          <w:numId w:val="2"/>
        </w:numPr>
        <w:spacing w:after="60" w:before="40" w:line="290"/>
      </w:pPr>
      <w:r>
        <w:rPr>
          <w:rFonts w:ascii="Lato" w:cs="Lato" w:eastAsia="Lato" w:hAnsi="Lato"/>
          <w:color w:val="1A1A1A"/>
          <w:sz w:val="22"/>
          <w:szCs w:val="22"/>
        </w:rPr>
        <w:t xml:space="preserve">Annual Manager performance review with the Board, supported by a quarterly KPI dashboard.</w:t>
      </w:r>
    </w:p>
    <w:p>
      <w:pPr>
        <w:pStyle w:val="Heading3"/>
        <w:spacing w:after="160" w:before="280"/>
      </w:pPr>
      <w:r>
        <w:rPr>
          <w:rFonts w:ascii="Garamond" w:cs="Garamond" w:eastAsia="Garamond" w:hAnsi="Garamond"/>
          <w:b/>
          <w:bCs/>
          <w:color w:val="173F35"/>
          <w:sz w:val="26"/>
          <w:szCs w:val="26"/>
        </w:rPr>
        <w:t xml:space="preserve">4.3  Transition</w:t>
      </w:r>
    </w:p>
    <w:p>
      <w:pPr>
        <w:pStyle w:val="ListParagraph"/>
        <w:numPr>
          <w:ilvl w:val="0"/>
          <w:numId w:val="2"/>
        </w:numPr>
        <w:spacing w:after="60" w:before="40" w:line="290"/>
      </w:pPr>
      <w:r>
        <w:rPr>
          <w:rFonts w:ascii="Lato" w:cs="Lato" w:eastAsia="Lato" w:hAnsi="Lato"/>
          <w:color w:val="1A1A1A"/>
          <w:sz w:val="22"/>
          <w:szCs w:val="22"/>
        </w:rPr>
        <w:t xml:space="preserve">Transition planning begins on Notice of Intent to Award.</w:t>
      </w:r>
    </w:p>
    <w:p>
      <w:pPr>
        <w:pStyle w:val="ListParagraph"/>
        <w:numPr>
          <w:ilvl w:val="0"/>
          <w:numId w:val="2"/>
        </w:numPr>
        <w:spacing w:after="60" w:before="40" w:line="290"/>
      </w:pPr>
      <w:r>
        <w:rPr>
          <w:rFonts w:ascii="Lato" w:cs="Lato" w:eastAsia="Lato" w:hAnsi="Lato"/>
          <w:color w:val="1A1A1A"/>
          <w:sz w:val="22"/>
          <w:szCs w:val="22"/>
        </w:rPr>
        <w:t xml:space="preserve">Outgoing management firm to provide all records, files, and accounting data on or before March 25, 2027.</w:t>
      </w:r>
    </w:p>
    <w:p>
      <w:pPr>
        <w:pStyle w:val="ListParagraph"/>
        <w:numPr>
          <w:ilvl w:val="0"/>
          <w:numId w:val="2"/>
        </w:numPr>
        <w:spacing w:after="60" w:before="40" w:line="290"/>
      </w:pPr>
      <w:r>
        <w:rPr>
          <w:rFonts w:ascii="Lato" w:cs="Lato" w:eastAsia="Lato" w:hAnsi="Lato"/>
          <w:color w:val="1A1A1A"/>
          <w:sz w:val="22"/>
          <w:szCs w:val="22"/>
        </w:rPr>
        <w:t xml:space="preserve">Awarded vendor to integrate accounting systems and confirm vendor relationships by April 1, 2027.</w:t>
      </w:r>
    </w:p>
    <w:p>
      <w:pPr>
        <w:pStyle w:val="ListParagraph"/>
        <w:numPr>
          <w:ilvl w:val="0"/>
          <w:numId w:val="2"/>
        </w:numPr>
        <w:spacing w:after="60" w:before="40" w:line="290"/>
      </w:pPr>
      <w:r>
        <w:rPr>
          <w:rFonts w:ascii="Lato" w:cs="Lato" w:eastAsia="Lato" w:hAnsi="Lato"/>
          <w:color w:val="1A1A1A"/>
          <w:sz w:val="22"/>
          <w:szCs w:val="22"/>
        </w:rPr>
        <w:t xml:space="preserve">First Board meeting under new management: April 15, 2027.</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Instructions to Proposers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5.1  Submission Method</w:t>
      </w:r>
    </w:p>
    <w:p>
      <w:pPr>
        <w:spacing w:after="160" w:before="0" w:line="320"/>
        <w:jc w:val="left"/>
      </w:pPr>
      <w:r>
        <w:rPr>
          <w:rFonts w:ascii="Lato" w:cs="Lato" w:eastAsia="Lato" w:hAnsi="Lato"/>
          <w:color w:val="1A1A1A"/>
          <w:sz w:val="22"/>
          <w:szCs w:val="22"/>
        </w:rPr>
        <w:t xml:space="preserve">Sealed proposals shall be submitted via email to rfp@tarponbay-condo.example with the subject line “2026-09-MGMT — [Vendor Name]”, AND a printed counterpart delivered to the Association office, no later than November 13, 2026, 5:00 PM Local Time.</w:t>
      </w:r>
    </w:p>
    <w:p>
      <w:pPr>
        <w:pStyle w:val="Heading3"/>
        <w:spacing w:after="160" w:before="280"/>
      </w:pPr>
      <w:r>
        <w:rPr>
          <w:rFonts w:ascii="Garamond" w:cs="Garamond" w:eastAsia="Garamond" w:hAnsi="Garamond"/>
          <w:b/>
          <w:bCs/>
          <w:color w:val="173F35"/>
          <w:sz w:val="26"/>
          <w:szCs w:val="26"/>
        </w:rPr>
        <w:t xml:space="preserve">5.2  Mandatory Kickoff Meeting</w:t>
      </w:r>
    </w:p>
    <w:p>
      <w:pPr>
        <w:spacing w:after="160" w:before="0" w:line="320"/>
        <w:jc w:val="left"/>
      </w:pPr>
      <w:r>
        <w:rPr>
          <w:rFonts w:ascii="Lato" w:cs="Lato" w:eastAsia="Lato" w:hAnsi="Lato"/>
          <w:color w:val="1A1A1A"/>
          <w:sz w:val="22"/>
          <w:szCs w:val="22"/>
        </w:rPr>
        <w:t xml:space="preserve">A mandatory kickoff meeting will be held October 9, 2026, at 10:00 AM at the Tarpon Bay clubhouse. Up to three (3) representatives per bidder may attend. Bidders shall register attendees by email no later than October 6, 2026.</w:t>
      </w:r>
    </w:p>
    <w:p>
      <w:pPr>
        <w:pStyle w:val="Heading3"/>
        <w:spacing w:after="160" w:before="280"/>
      </w:pPr>
      <w:r>
        <w:rPr>
          <w:rFonts w:ascii="Garamond" w:cs="Garamond" w:eastAsia="Garamond" w:hAnsi="Garamond"/>
          <w:b/>
          <w:bCs/>
          <w:color w:val="173F35"/>
          <w:sz w:val="26"/>
          <w:szCs w:val="26"/>
        </w:rPr>
        <w:t xml:space="preserve">5.3  Required Submittals</w:t>
      </w:r>
    </w:p>
    <w:p>
      <w:pPr>
        <w:pStyle w:val="ListParagraph"/>
        <w:numPr>
          <w:ilvl w:val="0"/>
          <w:numId w:val="3"/>
        </w:numPr>
        <w:spacing w:after="100" w:before="60" w:line="300"/>
      </w:pPr>
      <w:r>
        <w:rPr>
          <w:rFonts w:ascii="Lato" w:cs="Lato" w:eastAsia="Lato" w:hAnsi="Lato"/>
          <w:color w:val="1A1A1A"/>
          <w:sz w:val="22"/>
          <w:szCs w:val="22"/>
        </w:rPr>
        <w:t xml:space="preserve">Executive Summary (not more than 2 pages).</w:t>
      </w:r>
    </w:p>
    <w:p>
      <w:pPr>
        <w:pStyle w:val="ListParagraph"/>
        <w:numPr>
          <w:ilvl w:val="0"/>
          <w:numId w:val="3"/>
        </w:numPr>
        <w:spacing w:after="100" w:before="60" w:line="300"/>
      </w:pPr>
      <w:r>
        <w:rPr>
          <w:rFonts w:ascii="Lato" w:cs="Lato" w:eastAsia="Lato" w:hAnsi="Lato"/>
          <w:color w:val="1A1A1A"/>
          <w:sz w:val="22"/>
          <w:szCs w:val="22"/>
        </w:rPr>
        <w:t xml:space="preserve">Vendor Information Form (Section 8).</w:t>
      </w:r>
    </w:p>
    <w:p>
      <w:pPr>
        <w:pStyle w:val="ListParagraph"/>
        <w:numPr>
          <w:ilvl w:val="0"/>
          <w:numId w:val="3"/>
        </w:numPr>
        <w:spacing w:after="100" w:before="60" w:line="300"/>
      </w:pPr>
      <w:r>
        <w:rPr>
          <w:rFonts w:ascii="Lato" w:cs="Lato" w:eastAsia="Lato" w:hAnsi="Lato"/>
          <w:color w:val="1A1A1A"/>
          <w:sz w:val="22"/>
          <w:szCs w:val="22"/>
        </w:rPr>
        <w:t xml:space="preserve">Three (3) Past Performance References from comparable Florida condominium associations (Section 9).</w:t>
      </w:r>
    </w:p>
    <w:p>
      <w:pPr>
        <w:pStyle w:val="ListParagraph"/>
        <w:numPr>
          <w:ilvl w:val="0"/>
          <w:numId w:val="3"/>
        </w:numPr>
        <w:spacing w:after="100" w:before="60" w:line="300"/>
      </w:pPr>
      <w:r>
        <w:rPr>
          <w:rFonts w:ascii="Lato" w:cs="Lato" w:eastAsia="Lato" w:hAnsi="Lato"/>
          <w:color w:val="1A1A1A"/>
          <w:sz w:val="22"/>
          <w:szCs w:val="22"/>
        </w:rPr>
        <w:t xml:space="preserve">Certificate of Insurance (Section 10) including Professional Liability / E&amp;O of $2M per claim and aggregate.</w:t>
      </w:r>
    </w:p>
    <w:p>
      <w:pPr>
        <w:pStyle w:val="ListParagraph"/>
        <w:numPr>
          <w:ilvl w:val="0"/>
          <w:numId w:val="3"/>
        </w:numPr>
        <w:spacing w:after="100" w:before="60" w:line="300"/>
      </w:pPr>
      <w:r>
        <w:rPr>
          <w:rFonts w:ascii="Lato" w:cs="Lato" w:eastAsia="Lato" w:hAnsi="Lato"/>
          <w:color w:val="1A1A1A"/>
          <w:sz w:val="22"/>
          <w:szCs w:val="22"/>
        </w:rPr>
        <w:t xml:space="preserve">Assigned Community Association Manager (CAM) biography, Florida license # under Fla. Stat. § 468.4334, and proposed hours / availability.</w:t>
      </w:r>
    </w:p>
    <w:p>
      <w:pPr>
        <w:pStyle w:val="ListParagraph"/>
        <w:numPr>
          <w:ilvl w:val="0"/>
          <w:numId w:val="3"/>
        </w:numPr>
        <w:spacing w:after="100" w:before="60" w:line="300"/>
      </w:pPr>
      <w:r>
        <w:rPr>
          <w:rFonts w:ascii="Lato" w:cs="Lato" w:eastAsia="Lato" w:hAnsi="Lato"/>
          <w:color w:val="1A1A1A"/>
          <w:sz w:val="22"/>
          <w:szCs w:val="22"/>
        </w:rPr>
        <w:t xml:space="preserve">Bench depth — biographies of two (2) backup CAMs and key support staff.</w:t>
      </w:r>
    </w:p>
    <w:p>
      <w:pPr>
        <w:pStyle w:val="ListParagraph"/>
        <w:numPr>
          <w:ilvl w:val="0"/>
          <w:numId w:val="3"/>
        </w:numPr>
        <w:spacing w:after="100" w:before="60" w:line="300"/>
      </w:pPr>
      <w:r>
        <w:rPr>
          <w:rFonts w:ascii="Lato" w:cs="Lato" w:eastAsia="Lato" w:hAnsi="Lato"/>
          <w:color w:val="1A1A1A"/>
          <w:sz w:val="22"/>
          <w:szCs w:val="22"/>
        </w:rPr>
        <w:t xml:space="preserve">Bid Sheet (Section 13) — monthly fee, hourly rates for additional services, transition costs.</w:t>
      </w:r>
    </w:p>
    <w:p>
      <w:pPr>
        <w:pStyle w:val="ListParagraph"/>
        <w:numPr>
          <w:ilvl w:val="0"/>
          <w:numId w:val="3"/>
        </w:numPr>
        <w:spacing w:after="100" w:before="60" w:line="300"/>
      </w:pPr>
      <w:r>
        <w:rPr>
          <w:rFonts w:ascii="Lato" w:cs="Lato" w:eastAsia="Lato" w:hAnsi="Lato"/>
          <w:color w:val="1A1A1A"/>
          <w:sz w:val="22"/>
          <w:szCs w:val="22"/>
        </w:rPr>
        <w:t xml:space="preserve">Bid Authorization &amp; Affidavit (Section 14).</w:t>
      </w:r>
    </w:p>
    <w:p>
      <w:pPr>
        <w:pStyle w:val="ListParagraph"/>
        <w:numPr>
          <w:ilvl w:val="0"/>
          <w:numId w:val="3"/>
        </w:numPr>
        <w:spacing w:after="100" w:before="60" w:line="300"/>
      </w:pPr>
      <w:r>
        <w:rPr>
          <w:rFonts w:ascii="Lato" w:cs="Lato" w:eastAsia="Lato" w:hAnsi="Lato"/>
          <w:color w:val="1A1A1A"/>
          <w:sz w:val="22"/>
          <w:szCs w:val="22"/>
        </w:rPr>
        <w:t xml:space="preserve">Management Approach narrative (not more than 15 pages) — covering staffing, technology platform, financial controls, Fla. Stat. § 718 compliance support, transition plan, and key personnel.</w:t>
      </w:r>
    </w:p>
    <w:p>
      <w:pPr>
        <w:pStyle w:val="ListParagraph"/>
        <w:numPr>
          <w:ilvl w:val="0"/>
          <w:numId w:val="3"/>
        </w:numPr>
        <w:spacing w:after="100" w:before="60" w:line="300"/>
      </w:pPr>
      <w:r>
        <w:rPr>
          <w:rFonts w:ascii="Lato" w:cs="Lato" w:eastAsia="Lato" w:hAnsi="Lato"/>
          <w:color w:val="1A1A1A"/>
          <w:sz w:val="22"/>
          <w:szCs w:val="22"/>
        </w:rPr>
        <w:t xml:space="preserve">Sample monthly financial report, sample owner correspondence, sample meeting minutes.</w:t>
      </w:r>
    </w:p>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Evaluation of Proposals</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Proposals will be evaluated by the Management Search Committee and the Board using the CIC-SC Comparative Proposal Evaluation Worksheet with Tier 3–4 weights adjusted for professional services (lower pricing weight, higher key-personnel and approach weights). Top two or three bidders by written-proposal score will be invited to present to the Board on December 14–16, 2026.</w:t>
      </w:r>
    </w:p>
    <w:p>
      <w:pPr>
        <w:spacing w:after="200" w:before="0" w:line="320"/>
        <w:jc w:val="left"/>
      </w:pPr>
      <w:r>
        <w:rPr>
          <w:rFonts w:ascii="Lato" w:cs="Lato" w:eastAsia="Lato" w:hAnsi="Lato"/>
          <w:color w:val="1A1A1A"/>
          <w:sz w:val="22"/>
          <w:szCs w:val="22"/>
        </w:rPr>
        <w:t xml:space="preserve">Award standard: lowest-priced, technically acceptable bidder, with departures from that rule documented in the Award Recommendation Memo if any. The standard is applied with awareness that the cheapest qualified manager is rarely the right one for a professional-services engagement of this scale and complexity.</w:t>
      </w:r>
    </w:p>
    <w:p>
      <w:r>
        <w:br w:type="page"/>
      </w:r>
    </w:p>
    <w:p>
      <w:pPr>
        <w:spacing w:after="60" w:before="0"/>
      </w:pPr>
      <w:r>
        <w:rPr>
          <w:rFonts w:ascii="Lato" w:cs="Lato" w:eastAsia="Lato" w:hAnsi="Lato"/>
          <w:b/>
          <w:bCs/>
          <w:color w:val="C9A24A"/>
          <w:spacing w:val="100"/>
          <w:sz w:val="16"/>
          <w:szCs w:val="16"/>
        </w:rPr>
        <w:t xml:space="preserve">SECTION 7</w:t>
      </w:r>
    </w:p>
    <w:p>
      <w:pPr>
        <w:pStyle w:val="Heading1"/>
        <w:spacing w:after="160" w:before="280"/>
      </w:pPr>
      <w:r>
        <w:rPr>
          <w:rFonts w:ascii="Garamond" w:cs="Garamond" w:eastAsia="Garamond" w:hAnsi="Garamond"/>
          <w:b/>
          <w:bCs/>
          <w:color w:val="173F35"/>
          <w:sz w:val="40"/>
          <w:szCs w:val="40"/>
        </w:rPr>
        <w:t xml:space="preserve">Conflicts of Interest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Each proposer shall disclose, in its cover letter, any current or prior relationship between the proposer (or any owner, officer, employee, or relative thereof) and any current Director, Officer, Committee Member, or current Manager of the Association.</w:t>
      </w:r>
    </w:p>
    <w:p>
      <w:pPr>
        <w:spacing w:after="0" w:before="0" w:line="320"/>
        <w:jc w:val="left"/>
      </w:pPr>
      <w:r>
        <w:rPr>
          <w:rFonts w:ascii="Lato" w:cs="Lato" w:eastAsia="Lato" w:hAnsi="Lato"/>
          <w:color w:val="1A1A1A"/>
          <w:sz w:val="22"/>
          <w:szCs w:val="22"/>
        </w:rPr>
        <w:t xml:space="preserve">The Association will follow the procedures of Fla. Stat. § 718.3027 (Conflicts of interest) in evaluating any proposal involving a Director, Officer, or relative thereof.</w:t>
      </w:r>
    </w:p>
    <w:p>
      <w:r>
        <w:br w:type="page"/>
      </w:r>
    </w:p>
    <w:p>
      <w:pPr>
        <w:spacing w:after="60" w:before="0"/>
      </w:pPr>
      <w:r>
        <w:rPr>
          <w:rFonts w:ascii="Lato" w:cs="Lato" w:eastAsia="Lato" w:hAnsi="Lato"/>
          <w:b/>
          <w:bCs/>
          <w:color w:val="C9A24A"/>
          <w:spacing w:val="100"/>
          <w:sz w:val="16"/>
          <w:szCs w:val="16"/>
        </w:rPr>
        <w:t xml:space="preserve">SECTION 8  /  FORM 1</w:t>
      </w:r>
    </w:p>
    <w:p>
      <w:pPr>
        <w:pStyle w:val="Heading1"/>
        <w:spacing w:after="160" w:before="280"/>
      </w:pPr>
      <w:r>
        <w:rPr>
          <w:rFonts w:ascii="Garamond" w:cs="Garamond" w:eastAsia="Garamond" w:hAnsi="Garamond"/>
          <w:b/>
          <w:bCs/>
          <w:color w:val="173F35"/>
          <w:sz w:val="40"/>
          <w:szCs w:val="40"/>
        </w:rPr>
        <w:t xml:space="preserve">Vendor Information Form</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Legal Company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Main Office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Authorized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FL DBPR Community Association Management Company License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 Founded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Managing Florida Condominiums (Fla. Stat. Ch. 718)</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 of Permanent Employees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Number of Florida Condominium Associations Currently Managed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Number of those above 50 units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Last 3 Years Revenue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Proposed CAM Name / FL License # / Years of Experience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EIN / Federal Tax ID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9  /  FORM 2</w:t>
      </w:r>
    </w:p>
    <w:p>
      <w:pPr>
        <w:pStyle w:val="Heading1"/>
        <w:spacing w:after="160" w:before="280"/>
      </w:pPr>
      <w:r>
        <w:rPr>
          <w:rFonts w:ascii="Garamond" w:cs="Garamond" w:eastAsia="Garamond" w:hAnsi="Garamond"/>
          <w:b/>
          <w:bCs/>
          <w:color w:val="173F35"/>
          <w:sz w:val="40"/>
          <w:szCs w:val="40"/>
        </w:rPr>
        <w:t xml:space="preserve">Past Performance References (3)</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Provide three (3) references from comparable Florida condominium associations (50+ units, Fla. Stat. Ch. 718) currently or recently under management.</w:t>
      </w:r>
    </w:p>
    <w:p>
      <w:pPr>
        <w:spacing w:after="60" w:before="0"/>
      </w:pPr>
      <w:r>
        <w:rPr>
          <w:rFonts w:ascii="Lato" w:cs="Lato" w:eastAsia="Lato" w:hAnsi="Lato"/>
          <w:b/>
          <w:bCs/>
          <w:color w:val="C9A24A"/>
          <w:spacing w:val="100"/>
          <w:sz w:val="16"/>
          <w:szCs w:val="16"/>
        </w:rPr>
        <w:t xml:space="preserve">REFERENCE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Unit Count / Building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Managed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Currently under your management?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Unit Count / Building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Managed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Currently under your management?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Association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 / 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Unit Count / Building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Managed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Currently under your management?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10</w:t>
      </w:r>
    </w:p>
    <w:p>
      <w:pPr>
        <w:pStyle w:val="Heading1"/>
        <w:spacing w:after="160" w:before="280"/>
      </w:pPr>
      <w:r>
        <w:rPr>
          <w:rFonts w:ascii="Garamond" w:cs="Garamond" w:eastAsia="Garamond" w:hAnsi="Garamond"/>
          <w:b/>
          <w:bCs/>
          <w:color w:val="173F35"/>
          <w:sz w:val="40"/>
          <w:szCs w:val="40"/>
        </w:rPr>
        <w:t xml:space="preserve">Insurance Requirements</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Commercial General Liability — </w:t>
      </w:r>
      <w:r>
        <w:rPr>
          <w:rFonts w:ascii="Lato" w:cs="Lato" w:eastAsia="Lato" w:hAnsi="Lato"/>
          <w:color w:val="1A1A1A"/>
          <w:sz w:val="22"/>
          <w:szCs w:val="22"/>
        </w:rPr>
        <w:t xml:space="preserve">$2,000,000 per occurrence and $5,000,000 aggregate; Association named as additional insured.</w:t>
      </w:r>
    </w:p>
    <w:p>
      <w:pPr>
        <w:pStyle w:val="ListParagraph"/>
        <w:numPr>
          <w:ilvl w:val="0"/>
          <w:numId w:val="2"/>
        </w:numPr>
        <w:spacing w:after="60" w:before="40" w:line="290"/>
      </w:pPr>
      <w:r>
        <w:rPr>
          <w:rFonts w:ascii="Lato" w:cs="Lato" w:eastAsia="Lato" w:hAnsi="Lato"/>
          <w:b/>
          <w:bCs/>
          <w:color w:val="173F35"/>
          <w:sz w:val="22"/>
          <w:szCs w:val="22"/>
        </w:rPr>
        <w:t xml:space="preserve">Commercial Auto Liability — </w:t>
      </w:r>
      <w:r>
        <w:rPr>
          <w:rFonts w:ascii="Lato" w:cs="Lato" w:eastAsia="Lato" w:hAnsi="Lato"/>
          <w:color w:val="1A1A1A"/>
          <w:sz w:val="22"/>
          <w:szCs w:val="22"/>
        </w:rPr>
        <w:t xml:space="preserve">$1,000,000 combined single limit.</w:t>
      </w:r>
    </w:p>
    <w:p>
      <w:pPr>
        <w:pStyle w:val="ListParagraph"/>
        <w:numPr>
          <w:ilvl w:val="0"/>
          <w:numId w:val="2"/>
        </w:numPr>
        <w:spacing w:after="60" w:before="40" w:line="290"/>
      </w:pPr>
      <w:r>
        <w:rPr>
          <w:rFonts w:ascii="Lato" w:cs="Lato" w:eastAsia="Lato" w:hAnsi="Lato"/>
          <w:b/>
          <w:bCs/>
          <w:color w:val="173F35"/>
          <w:sz w:val="22"/>
          <w:szCs w:val="22"/>
        </w:rPr>
        <w:t xml:space="preserve">Workers’ Compensation &amp; Employer’s Liability — </w:t>
      </w:r>
      <w:r>
        <w:rPr>
          <w:rFonts w:ascii="Lato" w:cs="Lato" w:eastAsia="Lato" w:hAnsi="Lato"/>
          <w:color w:val="1A1A1A"/>
          <w:sz w:val="22"/>
          <w:szCs w:val="22"/>
        </w:rPr>
        <w:t xml:space="preserve">Florida statutory; Employer’s Liability $1M / $1M / $1M.</w:t>
      </w:r>
    </w:p>
    <w:p>
      <w:pPr>
        <w:pStyle w:val="ListParagraph"/>
        <w:numPr>
          <w:ilvl w:val="0"/>
          <w:numId w:val="2"/>
        </w:numPr>
        <w:spacing w:after="60" w:before="40" w:line="290"/>
      </w:pPr>
      <w:r>
        <w:rPr>
          <w:rFonts w:ascii="Lato" w:cs="Lato" w:eastAsia="Lato" w:hAnsi="Lato"/>
          <w:b/>
          <w:bCs/>
          <w:color w:val="173F35"/>
          <w:sz w:val="22"/>
          <w:szCs w:val="22"/>
        </w:rPr>
        <w:t xml:space="preserve">Professional Liability / E&amp;O — </w:t>
      </w:r>
      <w:r>
        <w:rPr>
          <w:rFonts w:ascii="Lato" w:cs="Lato" w:eastAsia="Lato" w:hAnsi="Lato"/>
          <w:color w:val="1A1A1A"/>
          <w:sz w:val="22"/>
          <w:szCs w:val="22"/>
        </w:rPr>
        <w:t xml:space="preserve">minimum $2,000,000 per claim and aggregate, covering community-association-management professional services.</w:t>
      </w:r>
    </w:p>
    <w:p>
      <w:pPr>
        <w:pStyle w:val="ListParagraph"/>
        <w:numPr>
          <w:ilvl w:val="0"/>
          <w:numId w:val="2"/>
        </w:numPr>
        <w:spacing w:after="60" w:before="40" w:line="290"/>
      </w:pPr>
      <w:r>
        <w:rPr>
          <w:rFonts w:ascii="Lato" w:cs="Lato" w:eastAsia="Lato" w:hAnsi="Lato"/>
          <w:b/>
          <w:bCs/>
          <w:color w:val="173F35"/>
          <w:sz w:val="22"/>
          <w:szCs w:val="22"/>
        </w:rPr>
        <w:t xml:space="preserve">Crime / Fidelity Bond — </w:t>
      </w:r>
      <w:r>
        <w:rPr>
          <w:rFonts w:ascii="Lato" w:cs="Lato" w:eastAsia="Lato" w:hAnsi="Lato"/>
          <w:color w:val="1A1A1A"/>
          <w:sz w:val="22"/>
          <w:szCs w:val="22"/>
        </w:rPr>
        <w:t xml:space="preserve">minimum $500,000 covering theft of Association funds by any employee or contractor of Vendor.</w:t>
      </w:r>
    </w:p>
    <w:p>
      <w:pPr>
        <w:pStyle w:val="ListParagraph"/>
        <w:numPr>
          <w:ilvl w:val="0"/>
          <w:numId w:val="2"/>
        </w:numPr>
        <w:spacing w:after="60" w:before="40" w:line="290"/>
      </w:pPr>
      <w:r>
        <w:rPr>
          <w:rFonts w:ascii="Lato" w:cs="Lato" w:eastAsia="Lato" w:hAnsi="Lato"/>
          <w:b/>
          <w:bCs/>
          <w:color w:val="173F35"/>
          <w:sz w:val="22"/>
          <w:szCs w:val="22"/>
        </w:rPr>
        <w:t xml:space="preserve">Cyber Liability — </w:t>
      </w:r>
      <w:r>
        <w:rPr>
          <w:rFonts w:ascii="Lato" w:cs="Lato" w:eastAsia="Lato" w:hAnsi="Lato"/>
          <w:color w:val="1A1A1A"/>
          <w:sz w:val="22"/>
          <w:szCs w:val="22"/>
        </w:rPr>
        <w:t xml:space="preserve">minimum $1,000,000, covering data breach and ransomware affecting Association data.</w:t>
      </w:r>
    </w:p>
    <w:p>
      <w:pPr>
        <w:pStyle w:val="ListParagraph"/>
        <w:numPr>
          <w:ilvl w:val="0"/>
          <w:numId w:val="2"/>
        </w:numPr>
        <w:spacing w:after="60" w:before="40" w:line="290"/>
      </w:pPr>
      <w:r>
        <w:rPr>
          <w:rFonts w:ascii="Lato" w:cs="Lato" w:eastAsia="Lato" w:hAnsi="Lato"/>
          <w:b/>
          <w:bCs/>
          <w:color w:val="173F35"/>
          <w:sz w:val="22"/>
          <w:szCs w:val="22"/>
        </w:rPr>
        <w:t xml:space="preserve">Notice of Cancellation — </w:t>
      </w:r>
      <w:r>
        <w:rPr>
          <w:rFonts w:ascii="Lato" w:cs="Lato" w:eastAsia="Lato" w:hAnsi="Lato"/>
          <w:color w:val="1A1A1A"/>
          <w:sz w:val="22"/>
          <w:szCs w:val="22"/>
        </w:rPr>
        <w:t xml:space="preserve">30 days’ written notice.</w:t>
      </w:r>
    </w:p>
    <w:p>
      <w:r>
        <w:br w:type="page"/>
      </w:r>
    </w:p>
    <w:p>
      <w:pPr>
        <w:spacing w:after="60" w:before="0"/>
      </w:pPr>
      <w:r>
        <w:rPr>
          <w:rFonts w:ascii="Lato" w:cs="Lato" w:eastAsia="Lato" w:hAnsi="Lato"/>
          <w:b/>
          <w:bCs/>
          <w:color w:val="C9A24A"/>
          <w:spacing w:val="100"/>
          <w:sz w:val="16"/>
          <w:szCs w:val="16"/>
        </w:rPr>
        <w:t xml:space="preserve">SECTION 11</w:t>
      </w:r>
    </w:p>
    <w:p>
      <w:pPr>
        <w:pStyle w:val="Heading1"/>
        <w:spacing w:after="160" w:before="280"/>
      </w:pPr>
      <w:r>
        <w:rPr>
          <w:rFonts w:ascii="Garamond" w:cs="Garamond" w:eastAsia="Garamond" w:hAnsi="Garamond"/>
          <w:b/>
          <w:bCs/>
          <w:color w:val="173F35"/>
          <w:sz w:val="40"/>
          <w:szCs w:val="40"/>
        </w:rPr>
        <w:t xml:space="preserve">Bonding Requirements</w:t>
      </w:r>
    </w:p>
    <w:p>
      <w:pPr>
        <w:pBdr>
          <w:bottom w:val="single" w:color="C9A24A" w:sz="8" w:space="1"/>
        </w:pBdr>
        <w:spacing w:after="120" w:before="80"/>
      </w:pPr>
      <w:r>
        <w:t xml:space="preserve"/>
      </w:r>
    </w:p>
    <w:p>
      <w:pPr>
        <w:spacing w:after="0" w:before="0" w:line="320"/>
        <w:jc w:val="left"/>
      </w:pPr>
      <w:r>
        <w:rPr>
          <w:rFonts w:ascii="Lato" w:cs="Lato" w:eastAsia="Lato" w:hAnsi="Lato"/>
          <w:color w:val="1A1A1A"/>
          <w:sz w:val="22"/>
          <w:szCs w:val="22"/>
        </w:rPr>
        <w:t xml:space="preserve">Performance and payment bonds are waived for this professional services engagement. In lieu of bonding, Vendor shall maintain the Professional Liability / E&amp;O and Crime / Fidelity coverage stated in Section 10.</w:t>
      </w:r>
    </w:p>
    <w:p>
      <w:r>
        <w:br w:type="page"/>
      </w:r>
    </w:p>
    <w:p>
      <w:pPr>
        <w:spacing w:after="60" w:before="0"/>
      </w:pPr>
      <w:r>
        <w:rPr>
          <w:rFonts w:ascii="Lato" w:cs="Lato" w:eastAsia="Lato" w:hAnsi="Lato"/>
          <w:b/>
          <w:bCs/>
          <w:color w:val="C9A24A"/>
          <w:spacing w:val="100"/>
          <w:sz w:val="16"/>
          <w:szCs w:val="16"/>
        </w:rPr>
        <w:t xml:space="preserve">SECTION 12</w:t>
      </w:r>
    </w:p>
    <w:p>
      <w:pPr>
        <w:pStyle w:val="Heading1"/>
        <w:spacing w:after="160" w:before="280"/>
      </w:pPr>
      <w:r>
        <w:rPr>
          <w:rFonts w:ascii="Garamond" w:cs="Garamond" w:eastAsia="Garamond" w:hAnsi="Garamond"/>
          <w:b/>
          <w:bCs/>
          <w:color w:val="173F35"/>
          <w:sz w:val="40"/>
          <w:szCs w:val="40"/>
        </w:rPr>
        <w:t xml:space="preserve">Contract Terms</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Form — </w:t>
      </w:r>
      <w:r>
        <w:rPr>
          <w:rFonts w:ascii="Lato" w:cs="Lato" w:eastAsia="Lato" w:hAnsi="Lato"/>
          <w:color w:val="1A1A1A"/>
          <w:sz w:val="22"/>
          <w:szCs w:val="22"/>
        </w:rPr>
        <w:t xml:space="preserve">Florida Condominium Management Agreement drafted by Tarpon Bay’s counsel, compliant with Fla. Stat. § 718.3025 content requirements. Vendor-supplied forms not acceptable.</w:t>
      </w:r>
    </w:p>
    <w:p>
      <w:pPr>
        <w:pStyle w:val="ListParagraph"/>
        <w:numPr>
          <w:ilvl w:val="0"/>
          <w:numId w:val="2"/>
        </w:numPr>
        <w:spacing w:after="60" w:before="40" w:line="290"/>
      </w:pPr>
      <w:r>
        <w:rPr>
          <w:rFonts w:ascii="Lato" w:cs="Lato" w:eastAsia="Lato" w:hAnsi="Lato"/>
          <w:b/>
          <w:bCs/>
          <w:color w:val="173F35"/>
          <w:sz w:val="22"/>
          <w:szCs w:val="22"/>
        </w:rPr>
        <w:t xml:space="preserve">Term — </w:t>
      </w:r>
      <w:r>
        <w:rPr>
          <w:rFonts w:ascii="Lato" w:cs="Lato" w:eastAsia="Lato" w:hAnsi="Lato"/>
          <w:color w:val="1A1A1A"/>
          <w:sz w:val="22"/>
          <w:szCs w:val="22"/>
        </w:rPr>
        <w:t xml:space="preserve">36-month initial term beginning April 1, 2027; two (2) optional one-year renewals at Association’s sole discretion; annual fee review at each anniversary.</w:t>
      </w:r>
    </w:p>
    <w:p>
      <w:pPr>
        <w:pStyle w:val="ListParagraph"/>
        <w:numPr>
          <w:ilvl w:val="0"/>
          <w:numId w:val="2"/>
        </w:numPr>
        <w:spacing w:after="60" w:before="40" w:line="290"/>
      </w:pPr>
      <w:r>
        <w:rPr>
          <w:rFonts w:ascii="Lato" w:cs="Lato" w:eastAsia="Lato" w:hAnsi="Lato"/>
          <w:b/>
          <w:bCs/>
          <w:color w:val="173F35"/>
          <w:sz w:val="22"/>
          <w:szCs w:val="22"/>
        </w:rPr>
        <w:t xml:space="preserve">Pricing &amp; Payment — </w:t>
      </w:r>
      <w:r>
        <w:rPr>
          <w:rFonts w:ascii="Lato" w:cs="Lato" w:eastAsia="Lato" w:hAnsi="Lato"/>
          <w:color w:val="1A1A1A"/>
          <w:sz w:val="22"/>
          <w:szCs w:val="22"/>
        </w:rPr>
        <w:t xml:space="preserve">monthly management fee paid in advance; ad-hoc services billed monthly in arrears at the rates in the Bid Sheet.</w:t>
      </w:r>
    </w:p>
    <w:p>
      <w:pPr>
        <w:pStyle w:val="ListParagraph"/>
        <w:numPr>
          <w:ilvl w:val="0"/>
          <w:numId w:val="2"/>
        </w:numPr>
        <w:spacing w:after="60" w:before="40" w:line="290"/>
      </w:pPr>
      <w:r>
        <w:rPr>
          <w:rFonts w:ascii="Lato" w:cs="Lato" w:eastAsia="Lato" w:hAnsi="Lato"/>
          <w:b/>
          <w:bCs/>
          <w:color w:val="173F35"/>
          <w:sz w:val="22"/>
          <w:szCs w:val="22"/>
        </w:rPr>
        <w:t xml:space="preserve">Termination for Convenience — </w:t>
      </w:r>
      <w:r>
        <w:rPr>
          <w:rFonts w:ascii="Lato" w:cs="Lato" w:eastAsia="Lato" w:hAnsi="Lato"/>
          <w:color w:val="1A1A1A"/>
          <w:sz w:val="22"/>
          <w:szCs w:val="22"/>
        </w:rPr>
        <w:t xml:space="preserve">either party may terminate on sixty (60) days’ written notice without penalty.</w:t>
      </w:r>
    </w:p>
    <w:p>
      <w:pPr>
        <w:pStyle w:val="ListParagraph"/>
        <w:numPr>
          <w:ilvl w:val="0"/>
          <w:numId w:val="2"/>
        </w:numPr>
        <w:spacing w:after="60" w:before="40" w:line="290"/>
      </w:pPr>
      <w:r>
        <w:rPr>
          <w:rFonts w:ascii="Lato" w:cs="Lato" w:eastAsia="Lato" w:hAnsi="Lato"/>
          <w:b/>
          <w:bCs/>
          <w:color w:val="173F35"/>
          <w:sz w:val="22"/>
          <w:szCs w:val="22"/>
        </w:rPr>
        <w:t xml:space="preserve">Termination for Cause — </w:t>
      </w:r>
      <w:r>
        <w:rPr>
          <w:rFonts w:ascii="Lato" w:cs="Lato" w:eastAsia="Lato" w:hAnsi="Lato"/>
          <w:color w:val="1A1A1A"/>
          <w:sz w:val="22"/>
          <w:szCs w:val="22"/>
        </w:rPr>
        <w:t xml:space="preserve">immediate on written notice after fifteen (15) day cure period; specific cause provisions include failure to perform statutory duties, gross negligence, or misuse of Association funds.</w:t>
      </w:r>
    </w:p>
    <w:p>
      <w:pPr>
        <w:pStyle w:val="ListParagraph"/>
        <w:numPr>
          <w:ilvl w:val="0"/>
          <w:numId w:val="2"/>
        </w:numPr>
        <w:spacing w:after="60" w:before="40" w:line="290"/>
      </w:pPr>
      <w:r>
        <w:rPr>
          <w:rFonts w:ascii="Lato" w:cs="Lato" w:eastAsia="Lato" w:hAnsi="Lato"/>
          <w:b/>
          <w:bCs/>
          <w:color w:val="173F35"/>
          <w:sz w:val="22"/>
          <w:szCs w:val="22"/>
        </w:rPr>
        <w:t xml:space="preserve">Data Ownership — </w:t>
      </w:r>
      <w:r>
        <w:rPr>
          <w:rFonts w:ascii="Lato" w:cs="Lato" w:eastAsia="Lato" w:hAnsi="Lato"/>
          <w:color w:val="1A1A1A"/>
          <w:sz w:val="22"/>
          <w:szCs w:val="22"/>
        </w:rPr>
        <w:t xml:space="preserve">all Association data, records, and files remain the property of the Association; Vendor shall maintain backup copies and surrender all data within thirty (30) days of contract termination.</w:t>
      </w:r>
    </w:p>
    <w:p>
      <w:pPr>
        <w:pStyle w:val="ListParagraph"/>
        <w:numPr>
          <w:ilvl w:val="0"/>
          <w:numId w:val="2"/>
        </w:numPr>
        <w:spacing w:after="60" w:before="40" w:line="290"/>
      </w:pPr>
      <w:r>
        <w:rPr>
          <w:rFonts w:ascii="Lato" w:cs="Lato" w:eastAsia="Lato" w:hAnsi="Lato"/>
          <w:b/>
          <w:bCs/>
          <w:color w:val="173F35"/>
          <w:sz w:val="22"/>
          <w:szCs w:val="22"/>
        </w:rPr>
        <w:t xml:space="preserve">Confidentiality — </w:t>
      </w:r>
      <w:r>
        <w:rPr>
          <w:rFonts w:ascii="Lato" w:cs="Lato" w:eastAsia="Lato" w:hAnsi="Lato"/>
          <w:color w:val="1A1A1A"/>
          <w:sz w:val="22"/>
          <w:szCs w:val="22"/>
        </w:rPr>
        <w:t xml:space="preserve">owner and resident information is confidential; Vendor shall not use Association data for solicitation of other business.</w:t>
      </w:r>
    </w:p>
    <w:p>
      <w:pPr>
        <w:pStyle w:val="ListParagraph"/>
        <w:numPr>
          <w:ilvl w:val="0"/>
          <w:numId w:val="2"/>
        </w:numPr>
        <w:spacing w:after="60" w:before="40" w:line="290"/>
      </w:pPr>
      <w:r>
        <w:rPr>
          <w:rFonts w:ascii="Lato" w:cs="Lato" w:eastAsia="Lato" w:hAnsi="Lato"/>
          <w:b/>
          <w:bCs/>
          <w:color w:val="173F35"/>
          <w:sz w:val="22"/>
          <w:szCs w:val="22"/>
        </w:rPr>
        <w:t xml:space="preserve">Compliance — </w:t>
      </w:r>
      <w:r>
        <w:rPr>
          <w:rFonts w:ascii="Lato" w:cs="Lato" w:eastAsia="Lato" w:hAnsi="Lato"/>
          <w:color w:val="1A1A1A"/>
          <w:sz w:val="22"/>
          <w:szCs w:val="22"/>
        </w:rPr>
        <w:t xml:space="preserve">Vendor shall comply with Fla. Stat. Ch. 718 and all applicable rules of the Division of Florida Condominiums, Timeshares, and Mobile Homes.</w:t>
      </w:r>
    </w:p>
    <w:p>
      <w:pPr>
        <w:pStyle w:val="ListParagraph"/>
        <w:numPr>
          <w:ilvl w:val="0"/>
          <w:numId w:val="2"/>
        </w:numPr>
        <w:spacing w:after="60" w:before="40" w:line="290"/>
      </w:pPr>
      <w:r>
        <w:rPr>
          <w:rFonts w:ascii="Lato" w:cs="Lato" w:eastAsia="Lato" w:hAnsi="Lato"/>
          <w:b/>
          <w:bCs/>
          <w:color w:val="173F35"/>
          <w:sz w:val="22"/>
          <w:szCs w:val="22"/>
        </w:rPr>
        <w:t xml:space="preserve">Governing Law &amp; Venue — </w:t>
      </w:r>
      <w:r>
        <w:rPr>
          <w:rFonts w:ascii="Lato" w:cs="Lato" w:eastAsia="Lato" w:hAnsi="Lato"/>
          <w:color w:val="1A1A1A"/>
          <w:sz w:val="22"/>
          <w:szCs w:val="22"/>
        </w:rPr>
        <w:t xml:space="preserve">Laws of Florida; venue in Collier County.</w:t>
      </w:r>
    </w:p>
    <w:p>
      <w:r>
        <w:br w:type="page"/>
      </w:r>
    </w:p>
    <w:p>
      <w:pPr>
        <w:spacing w:after="60" w:before="0"/>
      </w:pPr>
      <w:r>
        <w:rPr>
          <w:rFonts w:ascii="Lato" w:cs="Lato" w:eastAsia="Lato" w:hAnsi="Lato"/>
          <w:b/>
          <w:bCs/>
          <w:color w:val="C9A24A"/>
          <w:spacing w:val="100"/>
          <w:sz w:val="16"/>
          <w:szCs w:val="16"/>
        </w:rPr>
        <w:t xml:space="preserve">SECTION 13  /  FORM 3</w:t>
      </w:r>
    </w:p>
    <w:p>
      <w:pPr>
        <w:pStyle w:val="Heading1"/>
        <w:spacing w:after="160" w:before="280"/>
      </w:pPr>
      <w:r>
        <w:rPr>
          <w:rFonts w:ascii="Garamond" w:cs="Garamond" w:eastAsia="Garamond" w:hAnsi="Garamond"/>
          <w:b/>
          <w:bCs/>
          <w:color w:val="173F35"/>
          <w:sz w:val="40"/>
          <w:szCs w:val="40"/>
        </w:rPr>
        <w:t xml:space="preserve">Bid Sheet</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rPr>
          <w:tblHeader/>
        </w:trPr>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BASE BID LINE ITEM</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PRICE ($)</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Monthly Management Fee — Year 1 (April 1, 2027 – March 31, 2028)</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Monthly Management Fee — Year 2 (with stated escalator)</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Monthly Management Fee — Year 3 (with stated escalator)</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One-time Transition Fee</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Hourly Rate — Senior / Principal Manager</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Hourly Rate — Associate Manager</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Hourly Rate — Administrative Support</w:t>
            </w:r>
          </w:p>
        </w:tc>
        <w:tc>
          <w:tcPr>
            <w:tcW w:type="dxa" w:w="3120"/>
            <w:tcBorders>
              <w:top w:val="single" w:color="BFBFBF" w:sz="4"/>
              <w:left w:val="single" w:color="BFBFBF" w:sz="4"/>
              <w:bottom w:val="single" w:color="BFBFBF" w:sz="4"/>
              <w:right w:val="single" w:color="BFBFBF" w:sz="4"/>
            </w:tcBorders>
            <w:shd w:fill="F7F1DF" w:color="auto" w:val="clear"/>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$_______________</w:t>
            </w:r>
          </w:p>
        </w:tc>
      </w:tr>
      <w:tr>
        <w:tc>
          <w:tcPr>
            <w:tcW w:type="dxa" w:w="624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left"/>
            </w:pPr>
            <w:r>
              <w:rPr>
                <w:rFonts w:ascii="Lato" w:cs="Lato" w:eastAsia="Lato" w:hAnsi="Lato"/>
                <w:color w:val="1A1A1A"/>
                <w:sz w:val="22"/>
                <w:szCs w:val="22"/>
              </w:rPr>
              <w:t xml:space="preserve">Annual Escalator Methodology</w:t>
            </w:r>
          </w:p>
        </w:tc>
        <w:tc>
          <w:tcPr>
            <w:tcW w:type="dxa" w:w="3120"/>
            <w:tcBorders>
              <w:top w:val="single" w:color="BFBFBF" w:sz="4"/>
              <w:left w:val="single" w:color="BFBFBF" w:sz="4"/>
              <w:bottom w:val="single" w:color="BFBFBF" w:sz="4"/>
              <w:right w:val="single" w:color="BFBFBF" w:sz="4"/>
            </w:tcBorders>
            <w:tcMar>
              <w:top w:type="dxa" w:w="160"/>
              <w:left w:type="dxa" w:w="160"/>
              <w:bottom w:type="dxa" w:w="160"/>
              <w:right w:type="dxa" w:w="160"/>
            </w:tcMar>
          </w:tcPr>
          <w:p>
            <w:pPr>
              <w:spacing w:after="0" w:before="0" w:line="300"/>
              <w:jc w:val="right"/>
            </w:pPr>
            <w:r>
              <w:rPr>
                <w:rFonts w:ascii="Lato" w:cs="Lato" w:eastAsia="Lato" w:hAnsi="Lato"/>
                <w:color w:val="1A1A1A"/>
                <w:sz w:val="22"/>
                <w:szCs w:val="22"/>
              </w:rPr>
              <w:t xml:space="preserve">[CPI / fixed % / both]</w:t>
            </w:r>
          </w:p>
        </w:tc>
      </w:tr>
      <w:tr>
        <w:tc>
          <w:tcPr>
            <w:tcW w:type="dxa" w:w="624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TOTAL BASE BID</w:t>
            </w:r>
          </w:p>
        </w:tc>
        <w:tc>
          <w:tcPr>
            <w:tcW w:type="dxa" w:w="312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right"/>
            </w:pPr>
            <w:r>
              <w:rPr>
                <w:rFonts w:ascii="Lato" w:cs="Lato" w:eastAsia="Lato" w:hAnsi="Lato"/>
                <w:b/>
                <w:bCs/>
                <w:color w:val="173F35"/>
                <w:sz w:val="22"/>
                <w:szCs w:val="22"/>
              </w:rPr>
              <w:t xml:space="preserve">$_______________</w:t>
            </w:r>
          </w:p>
        </w:tc>
      </w:tr>
    </w:tbl>
    <w:p>
      <w:r>
        <w:br w:type="page"/>
      </w:r>
    </w:p>
    <w:p>
      <w:pPr>
        <w:spacing w:after="60" w:before="0"/>
      </w:pPr>
      <w:r>
        <w:rPr>
          <w:rFonts w:ascii="Lato" w:cs="Lato" w:eastAsia="Lato" w:hAnsi="Lato"/>
          <w:b/>
          <w:bCs/>
          <w:color w:val="C9A24A"/>
          <w:spacing w:val="100"/>
          <w:sz w:val="16"/>
          <w:szCs w:val="16"/>
        </w:rPr>
        <w:t xml:space="preserve">SECTION 14  /  FORM 4</w:t>
      </w:r>
    </w:p>
    <w:p>
      <w:pPr>
        <w:pStyle w:val="Heading1"/>
        <w:spacing w:after="160" w:before="280"/>
      </w:pPr>
      <w:r>
        <w:rPr>
          <w:rFonts w:ascii="Garamond" w:cs="Garamond" w:eastAsia="Garamond" w:hAnsi="Garamond"/>
          <w:b/>
          <w:bCs/>
          <w:color w:val="173F35"/>
          <w:sz w:val="40"/>
          <w:szCs w:val="40"/>
        </w:rPr>
        <w:t xml:space="preserve">Bid Authorization &amp; Affidavit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By signing below, the undersigned officer certifies, under penalty of perjury:</w:t>
      </w:r>
    </w:p>
    <w:p>
      <w:pPr>
        <w:pStyle w:val="ListParagraph"/>
        <w:numPr>
          <w:ilvl w:val="0"/>
          <w:numId w:val="3"/>
        </w:numPr>
        <w:spacing w:after="100" w:before="60" w:line="300"/>
      </w:pPr>
      <w:r>
        <w:rPr>
          <w:rFonts w:ascii="Lato" w:cs="Lato" w:eastAsia="Lato" w:hAnsi="Lato"/>
          <w:color w:val="1A1A1A"/>
          <w:sz w:val="22"/>
          <w:szCs w:val="22"/>
        </w:rPr>
        <w:t xml:space="preserve">Examination of the RFP, governing documents, financial statements, and reserve study summary.</w:t>
      </w:r>
    </w:p>
    <w:p>
      <w:pPr>
        <w:pStyle w:val="ListParagraph"/>
        <w:numPr>
          <w:ilvl w:val="0"/>
          <w:numId w:val="3"/>
        </w:numPr>
        <w:spacing w:after="100" w:before="60" w:line="300"/>
      </w:pPr>
      <w:r>
        <w:rPr>
          <w:rFonts w:ascii="Lato" w:cs="Lato" w:eastAsia="Lato" w:hAnsi="Lato"/>
          <w:color w:val="1A1A1A"/>
          <w:sz w:val="22"/>
          <w:szCs w:val="22"/>
        </w:rPr>
        <w:t xml:space="preserve">No collusion in restraint of free competitive bidding.</w:t>
      </w:r>
    </w:p>
    <w:p>
      <w:pPr>
        <w:pStyle w:val="ListParagraph"/>
        <w:numPr>
          <w:ilvl w:val="0"/>
          <w:numId w:val="3"/>
        </w:numPr>
        <w:spacing w:after="100" w:before="60" w:line="300"/>
      </w:pPr>
      <w:r>
        <w:rPr>
          <w:rFonts w:ascii="Lato" w:cs="Lato" w:eastAsia="Lato" w:hAnsi="Lato"/>
          <w:color w:val="1A1A1A"/>
          <w:sz w:val="22"/>
          <w:szCs w:val="22"/>
        </w:rPr>
        <w:t xml:space="preserve">Disclosure of any conflict of interest under Section 7, in compliance with Fla. Stat. §§ 718.3027 and 720.3033 as applicable.</w:t>
      </w:r>
    </w:p>
    <w:p>
      <w:pPr>
        <w:pStyle w:val="ListParagraph"/>
        <w:numPr>
          <w:ilvl w:val="0"/>
          <w:numId w:val="3"/>
        </w:numPr>
        <w:spacing w:after="100" w:before="60" w:line="300"/>
      </w:pPr>
      <w:r>
        <w:rPr>
          <w:rFonts w:ascii="Lato" w:cs="Lato" w:eastAsia="Lato" w:hAnsi="Lato"/>
          <w:color w:val="1A1A1A"/>
          <w:sz w:val="22"/>
          <w:szCs w:val="22"/>
        </w:rPr>
        <w:t xml:space="preserve">The proposed Community Association Manager is currently Florida-licensed under Fla. Stat. § 468.4334 and in good standing with the FL DBPR.</w:t>
      </w:r>
    </w:p>
    <w:p>
      <w:pPr>
        <w:pStyle w:val="ListParagraph"/>
        <w:numPr>
          <w:ilvl w:val="0"/>
          <w:numId w:val="3"/>
        </w:numPr>
        <w:spacing w:after="100" w:before="60" w:line="300"/>
      </w:pPr>
      <w:r>
        <w:rPr>
          <w:rFonts w:ascii="Lato" w:cs="Lato" w:eastAsia="Lato" w:hAnsi="Lato"/>
          <w:color w:val="1A1A1A"/>
          <w:sz w:val="22"/>
          <w:szCs w:val="22"/>
        </w:rPr>
        <w:t xml:space="preserve">Vendor is currently FL DBPR-licensed as a Community Association Management Company.</w:t>
      </w:r>
    </w:p>
    <w:p>
      <w:pPr>
        <w:pStyle w:val="ListParagraph"/>
        <w:numPr>
          <w:ilvl w:val="0"/>
          <w:numId w:val="3"/>
        </w:numPr>
        <w:spacing w:after="100" w:before="60" w:line="300"/>
      </w:pPr>
      <w:r>
        <w:rPr>
          <w:rFonts w:ascii="Lato" w:cs="Lato" w:eastAsia="Lato" w:hAnsi="Lato"/>
          <w:color w:val="1A1A1A"/>
          <w:sz w:val="22"/>
          <w:szCs w:val="22"/>
        </w:rPr>
        <w:t xml:space="preserve">Pricing firm and valid for 90 calendar days after the Proposal Due Date.</w:t>
      </w:r>
    </w:p>
    <w:p>
      <w:pPr>
        <w:pStyle w:val="ListParagraph"/>
        <w:numPr>
          <w:ilvl w:val="0"/>
          <w:numId w:val="3"/>
        </w:numPr>
        <w:spacing w:after="100" w:before="60" w:line="300"/>
      </w:pPr>
      <w:r>
        <w:rPr>
          <w:rFonts w:ascii="Lato" w:cs="Lato" w:eastAsia="Lato" w:hAnsi="Lato"/>
          <w:color w:val="1A1A1A"/>
          <w:sz w:val="22"/>
          <w:szCs w:val="22"/>
        </w:rPr>
        <w:t xml:space="preserve">Vendor will execute Tarpon Bay’s counsel-drafted Florida Condominium Management Agreement upon award; Vendor will not require use of its own form.</w:t>
      </w:r>
    </w:p>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Company Name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Date: ____________________________________</w:t>
            </w:r>
          </w:p>
          <w:p>
            <w:pPr>
              <w:spacing w:after="60" w:before="0" w:line="300"/>
              <w:jc w:val="left"/>
            </w:pPr>
            <w:r>
              <w:rPr>
                <w:rFonts w:ascii="Lato" w:cs="Lato" w:eastAsia="Lato" w:hAnsi="Lato"/>
                <w:color w:val="5C5C5C"/>
                <w:sz w:val="18"/>
                <w:szCs w:val="18"/>
              </w:rPr>
              <w:t xml:space="preserve">RFP Reference #: 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RFP  •  Community Management Services  •  Florida</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RFP — Management Services (FL)</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RFP — Community Management Services (Florida)</dc:title>
  <dc:creator>Common Interest Community Standards Council (CIC-SC)</dc:creator>
  <dc:description>CIC-SC standalone draft (illustrative).</dc:description>
  <cp:lastModifiedBy>Un-named</cp:lastModifiedBy>
  <cp:revision>1</cp:revision>
  <dcterms:created xsi:type="dcterms:W3CDTF">2026-05-10T22:04:07.999Z</dcterms:created>
  <dcterms:modified xsi:type="dcterms:W3CDTF">2026-05-10T22:04:07.999Z</dcterms:modified>
</cp:coreProperties>
</file>

<file path=docProps/custom.xml><?xml version="1.0" encoding="utf-8"?>
<Properties xmlns="http://schemas.openxmlformats.org/officeDocument/2006/custom-properties" xmlns:vt="http://schemas.openxmlformats.org/officeDocument/2006/docPropsVTypes"/>
</file>