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Sample Comparative Evaluation  /  Standalone Draft / Pool &amp; Spa Sample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Comparative</w:t>
      </w:r>
    </w:p>
    <w:p>
      <w:pPr>
        <w:spacing w:after="240" w:before="0"/>
        <w:jc w:val="left"/>
      </w:pPr>
      <w:r>
        <w:rPr>
          <w:rFonts w:ascii="Garamond" w:cs="Garamond" w:eastAsia="Garamond" w:hAnsi="Garamond"/>
          <w:i/>
          <w:iCs/>
          <w:color w:val="173F35"/>
          <w:sz w:val="60"/>
          <w:szCs w:val="60"/>
        </w:rPr>
        <w:t xml:space="preserve">Proposal Evaluation</w:t>
      </w:r>
    </w:p>
    <w:p>
      <w:pPr>
        <w:spacing w:after="1200" w:before="80"/>
        <w:jc w:val="left"/>
      </w:pPr>
      <w:r>
        <w:rPr>
          <w:rFonts w:ascii="Lato" w:cs="Lato" w:eastAsia="Lato" w:hAnsi="Lato"/>
          <w:color w:val="1A1A1A"/>
          <w:sz w:val="24"/>
          <w:szCs w:val="24"/>
        </w:rPr>
        <w:t xml:space="preserve">Sample completed evaluation for the Tarpon Bay Condominium Association, Inc. Swimming Pool &amp; Spa Service RFP. Three bidders evaluated; one disqualified at threshold; two scored; award recommendation populated.</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Standalone Draft  •  Florida Sample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Condominium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Comparative Proposal Evaluation Worksheet  •  Sample RFP — Pool &amp; Spa (FL)  •  RFP Tier 1/2 Adoption-Ready Template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THIS IS A FULLY SCORED EXAMPLE</w:t>
            </w:r>
          </w:p>
          <w:p>
            <w:pPr>
              <w:spacing w:after="0" w:before="0" w:line="300"/>
              <w:jc w:val="left"/>
            </w:pPr>
            <w:r>
              <w:rPr>
                <w:rFonts w:ascii="Lato" w:cs="Lato" w:eastAsia="Lato" w:hAnsi="Lato"/>
                <w:color w:val="1A1A1A"/>
                <w:sz w:val="22"/>
                <w:szCs w:val="22"/>
              </w:rPr>
              <w:t xml:space="preserve">This sample is a completed evaluation for a fictional Florida condominium. The three bidders, their scores, the threshold disqualification, the pricing, and the award recommendation are illustrative — replace them with your association’s information before issuing. The methodology reflects CIC-SC best practice for a Tier 1–2 pool evaluation under Florida law (Fla. Stat. § 718.3026).</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WHAT THIS EXAMPLE TEACHES</w:t>
            </w:r>
          </w:p>
          <w:p>
            <w:pPr>
              <w:spacing w:after="0" w:before="0" w:line="300"/>
              <w:jc w:val="left"/>
            </w:pPr>
            <w:r>
              <w:rPr>
                <w:rFonts w:ascii="Lato" w:cs="Lato" w:eastAsia="Lato" w:hAnsi="Lato"/>
                <w:color w:val="1A1A1A"/>
                <w:sz w:val="22"/>
                <w:szCs w:val="22"/>
              </w:rPr>
              <w:t xml:space="preserve">This sample illustrates two distinct outcomes in a single evaluation: (1) a threshold disqualification — the bright-line filter at work — and (2) a defensible departure from the lowest-priced rule, where documented qualitative differences justify award to a higher-priced bidder.</w:t>
            </w:r>
          </w:p>
        </w:tc>
      </w:tr>
    </w:tbl>
    <w:p>
      <w:pPr>
        <w:spacing w:after="8" w:before="8"/>
      </w:pPr>
      <w:r>
        <w:rPr>
          <w:sz w:val="2"/>
          <w:szCs w:val="2"/>
        </w:rPr>
        <w:t xml:space="preserve"/>
      </w:r>
    </w:p>
    <w:p>
      <w:r>
        <w:br w:type="page"/>
      </w:r>
    </w:p>
    <w:p>
      <w:pPr>
        <w:spacing w:after="60" w:before="0"/>
      </w:pPr>
      <w:r>
        <w:rPr>
          <w:rFonts w:ascii="Lato" w:cs="Lato" w:eastAsia="Lato" w:hAnsi="Lato"/>
          <w:b/>
          <w:bCs/>
          <w:color w:val="C9A24A"/>
          <w:spacing w:val="100"/>
          <w:sz w:val="16"/>
          <w:szCs w:val="16"/>
        </w:rPr>
        <w:t xml:space="preserve">SECTION 1</w:t>
      </w:r>
    </w:p>
    <w:p>
      <w:pPr>
        <w:pStyle w:val="Heading1"/>
        <w:spacing w:after="160" w:before="280"/>
      </w:pPr>
      <w:r>
        <w:rPr>
          <w:rFonts w:ascii="Garamond" w:cs="Garamond" w:eastAsia="Garamond" w:hAnsi="Garamond"/>
          <w:b/>
          <w:bCs/>
          <w:color w:val="173F35"/>
          <w:sz w:val="40"/>
          <w:szCs w:val="40"/>
        </w:rPr>
        <w:t xml:space="preserve">Project Information</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Issuing Association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Tarpon Bay Condominium Association, Inc.</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Property Address</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1820 Tarpon Bay Drive, Naples, Florida 34104</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Service Category</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Commercial Swimming Pool &amp; Spa Service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RFP Reference #</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2026-08-POOL</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Performance Period</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January 1, 2027  through  December 31, 2027 (with two annual renewal options)</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Proposals Due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2,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Evaluation Window</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5 – 14,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Recommended Award 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27, 2026</w:t>
            </w:r>
          </w:p>
        </w:tc>
      </w:tr>
    </w:tbl>
    <w:p>
      <w:r>
        <w:br w:type="page"/>
      </w:r>
    </w:p>
    <w:p>
      <w:pPr>
        <w:spacing w:after="60" w:before="0"/>
      </w:pPr>
      <w:r>
        <w:rPr>
          <w:rFonts w:ascii="Lato" w:cs="Lato" w:eastAsia="Lato" w:hAnsi="Lato"/>
          <w:b/>
          <w:bCs/>
          <w:color w:val="C9A24A"/>
          <w:spacing w:val="100"/>
          <w:sz w:val="16"/>
          <w:szCs w:val="16"/>
        </w:rPr>
        <w:t xml:space="preserve">SECTION 2</w:t>
      </w:r>
    </w:p>
    <w:p>
      <w:pPr>
        <w:pStyle w:val="Heading1"/>
        <w:spacing w:after="160" w:before="280"/>
      </w:pPr>
      <w:r>
        <w:rPr>
          <w:rFonts w:ascii="Garamond" w:cs="Garamond" w:eastAsia="Garamond" w:hAnsi="Garamond"/>
          <w:b/>
          <w:bCs/>
          <w:color w:val="173F35"/>
          <w:sz w:val="40"/>
          <w:szCs w:val="40"/>
        </w:rPr>
        <w:t xml:space="preserve">Evaluators &amp; Recusal Log</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Evaluator</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Role</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Affirmation Date</w:t>
            </w:r>
          </w:p>
        </w:tc>
      </w:tr>
      <w:tr>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Marcus Hill</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Association Manager</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October 5, 2026</w:t>
            </w:r>
          </w:p>
        </w:tc>
      </w:tr>
      <w:tr>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Susan Reilly</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Board Vice President (Amenity Liaison)</w:t>
            </w:r>
          </w:p>
        </w:tc>
        <w:tc>
          <w:tcPr>
            <w:tcW w:type="dxa" w:w="3120"/>
            <w:tcBorders>
              <w:top w:val="single" w:color="BFBFBF" w:sz="4"/>
              <w:left w:val="single" w:color="BFBFBF" w:sz="4"/>
              <w:bottom w:val="single" w:color="BFBFBF" w:sz="4"/>
              <w:right w:val="single" w:color="BFBFBF" w:sz="4"/>
            </w:tcBorders>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October 5, 2026</w:t>
            </w:r>
          </w:p>
        </w:tc>
      </w:tr>
      <w:tr>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David Park</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Pool Committee Chair</w:t>
            </w:r>
          </w:p>
        </w:tc>
        <w:tc>
          <w:tcPr>
            <w:tcW w:type="dxa" w:w="3120"/>
            <w:tcBorders>
              <w:top w:val="single" w:color="BFBFBF" w:sz="4"/>
              <w:left w:val="single" w:color="BFBFBF" w:sz="4"/>
              <w:bottom w:val="single" w:color="BFBFBF" w:sz="4"/>
              <w:right w:val="single" w:color="BFBFBF" w:sz="4"/>
            </w:tcBorders>
            <w:shd w:fill="F7F1DF" w:color="auto" w:val="clear"/>
            <w:tcMar>
              <w:top w:type="dxa" w:w="140"/>
              <w:left w:type="dxa" w:w="160"/>
              <w:bottom w:type="dxa" w:w="140"/>
              <w:right w:type="dxa" w:w="160"/>
            </w:tcMar>
          </w:tcPr>
          <w:p>
            <w:pPr>
              <w:spacing w:after="0" w:before="0" w:line="300"/>
              <w:jc w:val="left"/>
            </w:pPr>
            <w:r>
              <w:rPr>
                <w:rFonts w:ascii="Lato" w:cs="Lato" w:eastAsia="Lato" w:hAnsi="Lato"/>
                <w:color w:val="1A1A1A"/>
                <w:sz w:val="22"/>
                <w:szCs w:val="22"/>
              </w:rPr>
              <w:t xml:space="preserve">October 5, 2026</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Recusal 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NO CONFLICTS DISCLOSED</w:t>
            </w:r>
          </w:p>
          <w:p>
            <w:pPr>
              <w:spacing w:after="0" w:before="0" w:line="300"/>
              <w:jc w:val="left"/>
            </w:pPr>
            <w:r>
              <w:rPr>
                <w:rFonts w:ascii="Lato" w:cs="Lato" w:eastAsia="Lato" w:hAnsi="Lato"/>
                <w:color w:val="1A1A1A"/>
                <w:sz w:val="22"/>
                <w:szCs w:val="22"/>
              </w:rPr>
              <w:t xml:space="preserve">All three evaluators completed the Annual Conflict of Interest Disclosure on October 5, 2026, in accordance with Article 3 of the Code of Ethics and Fla. Stat. §§ 718.3027 / 720.3033. No conflicts were disclosed with respect to any of the three bidders for this RFP.</w:t>
            </w:r>
          </w:p>
        </w:tc>
      </w:tr>
    </w:tbl>
    <w:p>
      <w:r>
        <w:br w:type="page"/>
      </w:r>
    </w:p>
    <w:p>
      <w:pPr>
        <w:spacing w:after="60" w:before="0"/>
      </w:pPr>
      <w:r>
        <w:rPr>
          <w:rFonts w:ascii="Lato" w:cs="Lato" w:eastAsia="Lato" w:hAnsi="Lato"/>
          <w:b/>
          <w:bCs/>
          <w:color w:val="C9A24A"/>
          <w:spacing w:val="100"/>
          <w:sz w:val="16"/>
          <w:szCs w:val="16"/>
        </w:rPr>
        <w:t xml:space="preserve">SECTION 3</w:t>
      </w:r>
    </w:p>
    <w:p>
      <w:pPr>
        <w:pStyle w:val="Heading1"/>
        <w:spacing w:after="160" w:before="280"/>
      </w:pPr>
      <w:r>
        <w:rPr>
          <w:rFonts w:ascii="Garamond" w:cs="Garamond" w:eastAsia="Garamond" w:hAnsi="Garamond"/>
          <w:b/>
          <w:bCs/>
          <w:color w:val="173F35"/>
          <w:sz w:val="40"/>
          <w:szCs w:val="40"/>
        </w:rPr>
        <w:t xml:space="preserve">Bidder Profile Summary</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FIELD</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BLUECLEAR POOL SERVICE</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COASTAL AQUATIC SERVICES</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NAPLES POOL PROS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 Founded</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2010</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2017</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2005</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Years in Pool Service</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16</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9</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21</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Permanent Employees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31</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14</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47</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Last Year Revenue</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$5.2M</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$1.8M</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$9.7M</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FL DBPR Pool License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FL DBPR CPC #1456789</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FL DBPR CPC #1782345</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FL DBPR CPC #1234567</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References Reachable / 3</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2</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3</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Insurance Section 9 Met</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Site Visit Attended</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c>
          <w:tcPr>
            <w:tcW w:type="dxa" w:w="2080"/>
            <w:tcBorders>
              <w:top w:val="single" w:color="BFBFBF" w:sz="4"/>
              <w:left w:val="single" w:color="BFBFBF" w:sz="4"/>
              <w:bottom w:val="single" w:color="BFBFBF" w:sz="4"/>
              <w:right w:val="single" w:color="BFBFBF" w:sz="4"/>
            </w:tcBorders>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Yes</w:t>
            </w:r>
          </w:p>
        </w:tc>
      </w:tr>
      <w:tr>
        <w:tc>
          <w:tcPr>
            <w:tcW w:type="dxa" w:w="3120"/>
            <w:tcBorders>
              <w:top w:val="single" w:color="BFBFBF" w:sz="4"/>
              <w:left w:val="single" w:color="BFBFBF" w:sz="4"/>
              <w:bottom w:val="single" w:color="BFBFBF" w:sz="4"/>
              <w:right w:val="single" w:color="BFBFBF" w:sz="4"/>
            </w:tcBorders>
            <w:shd w:fill="DDE7E2" w:color="auto" w:val="clear"/>
            <w:tcMar>
              <w:top w:type="dxa" w:w="120"/>
              <w:left w:type="dxa" w:w="120"/>
              <w:bottom w:type="dxa" w:w="120"/>
              <w:right w:type="dxa" w:w="120"/>
            </w:tcMar>
          </w:tcPr>
          <w:p>
            <w:pPr>
              <w:spacing w:after="0" w:before="0" w:line="300"/>
              <w:jc w:val="left"/>
            </w:pPr>
            <w:r>
              <w:rPr>
                <w:rFonts w:ascii="Lato" w:cs="Lato" w:eastAsia="Lato" w:hAnsi="Lato"/>
                <w:b/>
                <w:bCs/>
                <w:color w:val="173F35"/>
                <w:sz w:val="22"/>
                <w:szCs w:val="22"/>
              </w:rPr>
              <w:t xml:space="preserve">Conflict Disclosed</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c>
          <w:tcPr>
            <w:tcW w:type="dxa" w:w="2080"/>
            <w:tcBorders>
              <w:top w:val="single" w:color="BFBFBF" w:sz="4"/>
              <w:left w:val="single" w:color="BFBFBF" w:sz="4"/>
              <w:bottom w:val="single" w:color="BFBFBF" w:sz="4"/>
              <w:right w:val="single" w:color="BFBFBF" w:sz="4"/>
            </w:tcBorders>
            <w:shd w:fill="F7F1DF" w:color="auto" w:val="clear"/>
            <w:tcMar>
              <w:top w:type="dxa" w:w="120"/>
              <w:left w:type="dxa" w:w="120"/>
              <w:bottom w:type="dxa" w:w="120"/>
              <w:right w:type="dxa" w:w="120"/>
            </w:tcMar>
          </w:tcPr>
          <w:p>
            <w:pPr>
              <w:spacing w:after="0" w:before="0" w:line="300"/>
              <w:jc w:val="left"/>
            </w:pPr>
            <w:r>
              <w:rPr>
                <w:rFonts w:ascii="Lato" w:cs="Lato" w:eastAsia="Lato" w:hAnsi="Lato"/>
                <w:color w:val="1A1A1A"/>
                <w:sz w:val="22"/>
                <w:szCs w:val="22"/>
              </w:rPr>
              <w:t xml:space="preserve">None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REFERENCE VERIFICATION</w:t>
            </w:r>
          </w:p>
          <w:p>
            <w:pPr>
              <w:spacing w:after="0" w:before="0" w:line="300"/>
              <w:jc w:val="left"/>
            </w:pPr>
            <w:r>
              <w:rPr>
                <w:rFonts w:ascii="Lato" w:cs="Lato" w:eastAsia="Lato" w:hAnsi="Lato"/>
                <w:color w:val="1A1A1A"/>
                <w:sz w:val="22"/>
                <w:szCs w:val="22"/>
              </w:rPr>
              <w:t xml:space="preserve">Coastal Aquatic Services submitted three references; the Manager attempted contact at the email and phone on file between October 6 and October 9, 2026. Reference #3 (Bayshore Towers Condominium) was unreachable through five attempts spanning four business days. Per the threshold rule, three (3) reachable references are required.</w:t>
            </w:r>
          </w:p>
        </w:tc>
      </w:tr>
    </w:tbl>
    <w:p>
      <w:r>
        <w:br w:type="page"/>
      </w:r>
    </w:p>
    <w:p>
      <w:pPr>
        <w:spacing w:after="60" w:before="0"/>
      </w:pPr>
      <w:r>
        <w:rPr>
          <w:rFonts w:ascii="Lato" w:cs="Lato" w:eastAsia="Lato" w:hAnsi="Lato"/>
          <w:b/>
          <w:bCs/>
          <w:color w:val="C9A24A"/>
          <w:spacing w:val="100"/>
          <w:sz w:val="16"/>
          <w:szCs w:val="16"/>
        </w:rPr>
        <w:t xml:space="preserve">SECTION 4</w:t>
      </w:r>
    </w:p>
    <w:p>
      <w:pPr>
        <w:pStyle w:val="Heading1"/>
        <w:spacing w:after="160" w:before="280"/>
      </w:pPr>
      <w:r>
        <w:rPr>
          <w:rFonts w:ascii="Garamond" w:cs="Garamond" w:eastAsia="Garamond" w:hAnsi="Garamond"/>
          <w:b/>
          <w:bCs/>
          <w:color w:val="173F35"/>
          <w:sz w:val="40"/>
          <w:szCs w:val="40"/>
        </w:rPr>
        <w:t xml:space="preserve">Threshold Pass / Fail Filter</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Coastal Aquatic Services failed the references threshold (only 2 of 3 reachable). Under the worksheet’s bright-line rule, Coastal Aquatic is removed from the comparison pool and not scored further. Notification to Coastal Aquatic was issued in writing on October 12,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800"/>
        <w:gridCol w:w="1800"/>
        <w:gridCol w:w="1800"/>
      </w:tblGrid>
      <w:tr>
        <w:trPr>
          <w:tblHeader/>
        </w:trPr>
        <w:tc>
          <w:tcPr>
            <w:tcW w:type="dxa" w:w="396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THRESHOLD CRITERION</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BLUECLEAR POOL SERVICE</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COASTAL AQUATIC SERVICES</w:t>
            </w:r>
          </w:p>
        </w:tc>
        <w:tc>
          <w:tcPr>
            <w:tcW w:type="dxa" w:w="180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NAPLES POOL PROS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Insurance Certificate evidences Section 9 coverage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All required forms submitted, signed, and complete</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Three (3) reachable references confirm satisfactory performance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8E0E0" w:color="auto" w:val="clear"/>
            <w:tcMar>
              <w:top w:type="dxa" w:w="140"/>
              <w:left w:type="dxa" w:w="120"/>
              <w:bottom w:type="dxa" w:w="140"/>
              <w:right w:type="dxa" w:w="120"/>
            </w:tcMar>
          </w:tcPr>
          <w:p>
            <w:pPr>
              <w:spacing w:after="0" w:before="0" w:line="300"/>
              <w:jc w:val="center"/>
            </w:pPr>
            <w:r>
              <w:rPr>
                <w:rFonts w:ascii="Lato" w:cs="Lato" w:eastAsia="Lato" w:hAnsi="Lato"/>
                <w:b/>
                <w:bCs/>
                <w:color w:val="B0202E"/>
                <w:sz w:val="22"/>
                <w:szCs w:val="22"/>
              </w:rPr>
              <w:t xml:space="preserve">FAIL</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FL DBPR Commercial Pool / Spa Servicing license current</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No undisclosed conflict with Director / Officer / Committee / Manager</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Bidder attended the mandatory September 11, 2026 site visit</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left"/>
            </w:pPr>
            <w:r>
              <w:rPr>
                <w:rFonts w:ascii="Lato" w:cs="Lato" w:eastAsia="Lato" w:hAnsi="Lato"/>
                <w:color w:val="1A1A1A"/>
                <w:sz w:val="22"/>
                <w:szCs w:val="22"/>
              </w:rPr>
              <w:t xml:space="preserve">Pricing valid 60 days after Proposal Due Date</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c>
          <w:tcPr>
            <w:tcW w:type="dxa" w:w="180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center"/>
            </w:pPr>
            <w:r>
              <w:rPr>
                <w:rFonts w:ascii="Lato" w:cs="Lato" w:eastAsia="Lato" w:hAnsi="Lato"/>
                <w:b/>
                <w:bCs/>
                <w:color w:val="173F35"/>
                <w:sz w:val="22"/>
                <w:szCs w:val="22"/>
              </w:rPr>
              <w:t xml:space="preserve">PASS</w:t>
            </w:r>
          </w:p>
        </w:tc>
      </w:tr>
      <w:tr>
        <w:tc>
          <w:tcPr>
            <w:tcW w:type="dxa" w:w="3960"/>
            <w:tcBorders>
              <w:top w:val="single" w:color="C9A24A" w:sz="8"/>
              <w:left w:val="single" w:color="C9A24A" w:sz="8"/>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left"/>
            </w:pPr>
            <w:r>
              <w:rPr>
                <w:rFonts w:ascii="Lato" w:cs="Lato" w:eastAsia="Lato" w:hAnsi="Lato"/>
                <w:b/>
                <w:bCs/>
                <w:color w:val="173F35"/>
                <w:sz w:val="22"/>
                <w:szCs w:val="22"/>
              </w:rPr>
              <w:t xml:space="preserve">OVERALL THRESHOLD STATUS</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ADVANCE</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B0202E"/>
                <w:sz w:val="22"/>
                <w:szCs w:val="22"/>
              </w:rPr>
              <w:t xml:space="preserve">DISQUALIFY</w:t>
            </w:r>
          </w:p>
        </w:tc>
        <w:tc>
          <w:tcPr>
            <w:tcW w:type="dxa" w:w="1800"/>
            <w:tcBorders>
              <w:top w:val="single" w:color="C9A24A" w:sz="8"/>
              <w:left w:val="single" w:color="C9A24A" w:sz="4"/>
              <w:bottom w:val="single" w:color="C9A24A" w:sz="8"/>
              <w:right w:val="single" w:color="C9A24A" w:sz="4"/>
            </w:tcBorders>
            <w:shd w:fill="EAE2C7" w:color="auto" w:val="clear"/>
            <w:tcMar>
              <w:top w:type="dxa" w:w="160"/>
              <w:left w:type="dxa" w:w="120"/>
              <w:bottom w:type="dxa" w:w="160"/>
              <w:right w:type="dxa" w:w="120"/>
            </w:tcMar>
          </w:tcPr>
          <w:p>
            <w:pPr>
              <w:spacing w:after="0" w:before="0" w:line="300"/>
              <w:jc w:val="center"/>
            </w:pPr>
            <w:r>
              <w:rPr>
                <w:rFonts w:ascii="Lato" w:cs="Lato" w:eastAsia="Lato" w:hAnsi="Lato"/>
                <w:b/>
                <w:bCs/>
                <w:color w:val="173F35"/>
                <w:sz w:val="22"/>
                <w:szCs w:val="22"/>
              </w:rPr>
              <w:t xml:space="preserve">ADVANCE</w:t>
            </w:r>
          </w:p>
        </w:tc>
      </w:tr>
    </w:tbl>
    <w:p>
      <w:r>
        <w:br w:type="page"/>
      </w:r>
    </w:p>
    <w:p>
      <w:pPr>
        <w:spacing w:after="60" w:before="0"/>
      </w:pPr>
      <w:r>
        <w:rPr>
          <w:rFonts w:ascii="Lato" w:cs="Lato" w:eastAsia="Lato" w:hAnsi="Lato"/>
          <w:b/>
          <w:bCs/>
          <w:color w:val="C9A24A"/>
          <w:spacing w:val="100"/>
          <w:sz w:val="16"/>
          <w:szCs w:val="16"/>
        </w:rPr>
        <w:t xml:space="preserve">SECTION 5</w:t>
      </w:r>
    </w:p>
    <w:p>
      <w:pPr>
        <w:pStyle w:val="Heading1"/>
        <w:spacing w:after="160" w:before="280"/>
      </w:pPr>
      <w:r>
        <w:rPr>
          <w:rFonts w:ascii="Garamond" w:cs="Garamond" w:eastAsia="Garamond" w:hAnsi="Garamond"/>
          <w:b/>
          <w:bCs/>
          <w:color w:val="173F35"/>
          <w:sz w:val="40"/>
          <w:szCs w:val="40"/>
        </w:rPr>
        <w:t xml:space="preserve">Weighted Scoring Matrix</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Two bidders advanced to scoring: BlueClear Pool Service and Naples Pool Pros. Coastal Aquatic Services was disqualified at threshold (Section 4) and is not scored. Consensus scores reflect the average of the three independent evaluators (Hill, Reilly, Park).</w:t>
      </w:r>
    </w:p>
    <w:p>
      <w:pPr>
        <w:sectPr>
          <w:headerReference w:type="default" r:id="rId9"/>
          <w:footerReference w:type="default" r:id="rId10"/>
          <w:pgSz w:w="12240" w:h="15840" w:orient="portrait"/>
          <w:pgMar w:top="1080" w:right="1440" w:bottom="1296" w:left="1440" w:header="540" w:footer="540" w:gutter="0"/>
          <w:pgNumType/>
          <w:docGrid w:linePitch="360"/>
        </w:sectPr>
      </w:pPr>
    </w:p>
    <w:tbl>
      <w:tblPr>
        <w:tblW w:type="dxa" w:w="14040"/>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800"/>
        <w:gridCol w:w="3120"/>
        <w:gridCol w:w="3120"/>
        <w:gridCol w:w="3700"/>
      </w:tblGrid>
      <w:tr>
        <w:trPr>
          <w:tblHeader/>
        </w:trPr>
        <w:tc>
          <w:tcPr>
            <w:tcW w:type="dxa" w:w="5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t>
            </w:r>
          </w:p>
        </w:tc>
        <w:tc>
          <w:tcPr>
            <w:tcW w:type="dxa" w:w="28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CRITERION</w:t>
            </w:r>
          </w:p>
        </w:tc>
        <w:tc>
          <w:tcPr>
            <w:tcW w:type="dxa" w:w="8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WEIGHT</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BLUECLEAR POOL SERVICE</w:t>
            </w:r>
          </w:p>
          <w:p>
            <w:pPr>
              <w:spacing w:after="0" w:before="0" w:line="300"/>
              <w:jc w:val="left"/>
            </w:pPr>
            <w:r>
              <w:rPr>
                <w:rFonts w:ascii="Lato" w:cs="Lato" w:eastAsia="Lato" w:hAnsi="Lato"/>
                <w:b/>
                <w:bCs/>
                <w:color w:val="FFFFFF"/>
                <w:sz w:val="16"/>
                <w:szCs w:val="16"/>
              </w:rPr>
              <w:t xml:space="preserve">SCORE / WT</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NAPLES POOL PROS</w:t>
            </w:r>
          </w:p>
          <w:p>
            <w:pPr>
              <w:spacing w:after="0" w:before="0" w:line="300"/>
              <w:jc w:val="left"/>
            </w:pPr>
            <w:r>
              <w:rPr>
                <w:rFonts w:ascii="Lato" w:cs="Lato" w:eastAsia="Lato" w:hAnsi="Lato"/>
                <w:b/>
                <w:bCs/>
                <w:color w:val="FFFFFF"/>
                <w:sz w:val="16"/>
                <w:szCs w:val="16"/>
              </w:rPr>
              <w:t xml:space="preserve">SCORE / WT</w:t>
            </w:r>
          </w:p>
        </w:tc>
        <w:tc>
          <w:tcPr>
            <w:tcW w:type="dxa" w:w="3700"/>
            <w:tcBorders>
              <w:top w:val="single" w:color="173F35" w:sz="4"/>
              <w:left w:val="single" w:color="173F35" w:sz="4"/>
              <w:bottom w:val="single" w:color="173F35" w:sz="4"/>
              <w:right w:val="single" w:color="173F35" w:sz="4"/>
            </w:tcBorders>
            <w:shd w:fill="173F35" w:color="auto" w:val="clear"/>
            <w:tcMar>
              <w:top w:type="dxa" w:w="120"/>
              <w:left w:type="dxa" w:w="100"/>
              <w:bottom w:type="dxa" w:w="120"/>
              <w:right w:type="dxa" w:w="100"/>
            </w:tcMar>
          </w:tcPr>
          <w:p>
            <w:pPr>
              <w:spacing w:after="0" w:before="0" w:line="300"/>
              <w:jc w:val="left"/>
            </w:pPr>
            <w:r>
              <w:rPr>
                <w:rFonts w:ascii="Lato" w:cs="Lato" w:eastAsia="Lato" w:hAnsi="Lato"/>
                <w:b/>
                <w:bCs/>
                <w:color w:val="FFFFFF"/>
                <w:sz w:val="16"/>
                <w:szCs w:val="16"/>
              </w:rPr>
              <w:t xml:space="preserve">GUIDANCE</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1</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RFP Compliance &amp; Completeness</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0.50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Both submitted on time and complete. Naples included a more detailed hurricane-response sub-plan than required.</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2</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Company Experience &amp; Capacity</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0.60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Naples 21 years / 47 employees / $9.7M revenue. BlueClear 16 years / 31 employees / $5.2M revenue. Both adequate; Naples deeper bench.</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3</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Past Performance &amp; References</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0.45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Naples’s three references are all comparable Collier County condominiums; BlueClear’s references include two condominiums and one country club, weaker comparability.</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4</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Insurance &amp; Licensing</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0.40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0.50</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Both meet Section 9 limits; both hold current FL DBPR Commercial Pool/Spa licenses. Naples carries higher umbrella ($5M) and has both CPO and Aquatic Facility Operator certifications on staff.</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5</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Quality Approach &amp; Management Plan</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15%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0.45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Naples submitted a documented chemistry program with detailed Fla. Admin. Code Ch. 64E-9 compliance procedures and a written hurricane response checklist. BlueClear’s plan met requirements but was less detailed.</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6</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Total 3-Year Cost</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25%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1.25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0.75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BlueClear $67,800 (3-yr); Naples $73,500. 5 = lowest.</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7</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Pricing — As-Needed Rates &amp; Markup</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0.20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3  /  0.15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BlueClear technician $72/hr, markup 12%. Naples technician $85/hr, markup 14%.</w:t>
            </w:r>
          </w:p>
        </w:tc>
      </w:tr>
      <w:tr>
        <w:tc>
          <w:tcPr>
            <w:tcW w:type="dxa" w:w="500"/>
            <w:tcBorders>
              <w:top w:val="single" w:color="BFBFBF" w:sz="4"/>
              <w:left w:val="single" w:color="BFBFBF" w:sz="4"/>
              <w:bottom w:val="single" w:color="BFBFBF" w:sz="4"/>
              <w:right w:val="single" w:color="BFBFBF" w:sz="4"/>
            </w:tcBorders>
            <w:shd w:fill="F7F1DF" w:color="auto" w:val="clear"/>
            <w:tcMar>
              <w:top w:type="dxa" w:w="140"/>
              <w:left w:type="dxa" w:w="80"/>
              <w:bottom w:type="dxa" w:w="140"/>
              <w:right w:type="dxa" w:w="80"/>
            </w:tcMar>
          </w:tcPr>
          <w:p>
            <w:pPr>
              <w:spacing w:after="0" w:before="0" w:line="300"/>
              <w:jc w:val="left"/>
            </w:pPr>
            <w:r>
              <w:rPr>
                <w:rFonts w:ascii="Lato" w:cs="Lato" w:eastAsia="Lato" w:hAnsi="Lato"/>
                <w:b/>
                <w:bCs/>
                <w:color w:val="173F35"/>
                <w:sz w:val="22"/>
                <w:szCs w:val="22"/>
              </w:rPr>
              <w:t xml:space="preserve">8</w:t>
            </w:r>
          </w:p>
        </w:tc>
        <w:tc>
          <w:tcPr>
            <w:tcW w:type="dxa" w:w="28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b/>
                <w:bCs/>
                <w:color w:val="1A1A1A"/>
                <w:sz w:val="22"/>
                <w:szCs w:val="22"/>
              </w:rPr>
              <w:t xml:space="preserve">Local Presence &amp; Reputation</w:t>
            </w:r>
          </w:p>
        </w:tc>
        <w:tc>
          <w:tcPr>
            <w:tcW w:type="dxa" w:w="800"/>
            <w:tcBorders>
              <w:top w:val="single" w:color="BFBFBF" w:sz="4"/>
              <w:left w:val="single" w:color="BFBFBF" w:sz="4"/>
              <w:bottom w:val="single" w:color="BFBFBF" w:sz="4"/>
              <w:right w:val="single" w:color="BFBFBF" w:sz="4"/>
            </w:tcBorders>
            <w:shd w:fill="EAE2C7" w:color="auto" w:val="clear"/>
            <w:tcMar>
              <w:top w:type="dxa" w:w="140"/>
              <w:left w:type="dxa" w:w="100"/>
              <w:bottom w:type="dxa" w:w="140"/>
              <w:right w:type="dxa" w:w="100"/>
            </w:tcMar>
          </w:tcPr>
          <w:p>
            <w:pPr>
              <w:spacing w:after="0" w:before="0" w:line="300"/>
              <w:jc w:val="center"/>
            </w:pPr>
            <w:r>
              <w:rPr>
                <w:rFonts w:ascii="Lato" w:cs="Lato" w:eastAsia="Lato" w:hAnsi="Lato"/>
                <w:b/>
                <w:bCs/>
                <w:color w:val="173F35"/>
                <w:sz w:val="22"/>
                <w:szCs w:val="22"/>
              </w:rPr>
              <w:t xml:space="preserve">5%</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4  /  0.20</w:t>
            </w:r>
          </w:p>
        </w:tc>
        <w:tc>
          <w:tcPr>
            <w:tcW w:type="dxa" w:w="312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center"/>
            </w:pPr>
            <w:r>
              <w:rPr>
                <w:rFonts w:ascii="Lato" w:cs="Lato" w:eastAsia="Lato" w:hAnsi="Lato"/>
                <w:b/>
                <w:bCs/>
                <w:color w:val="1A1A1A"/>
                <w:sz w:val="22"/>
                <w:szCs w:val="22"/>
              </w:rPr>
              <w:t xml:space="preserve">5  /  0.25</w:t>
            </w:r>
          </w:p>
        </w:tc>
        <w:tc>
          <w:tcPr>
            <w:tcW w:type="dxa" w:w="3700"/>
            <w:tcBorders>
              <w:top w:val="single" w:color="BFBFBF" w:sz="4"/>
              <w:left w:val="single" w:color="BFBFBF" w:sz="4"/>
              <w:bottom w:val="single" w:color="BFBFBF" w:sz="4"/>
              <w:right w:val="single" w:color="BFBFBF" w:sz="4"/>
            </w:tcBorders>
            <w:tcMar>
              <w:top w:type="dxa" w:w="140"/>
              <w:left w:type="dxa" w:w="100"/>
              <w:bottom w:type="dxa" w:w="140"/>
              <w:right w:type="dxa" w:w="100"/>
            </w:tcMar>
          </w:tcPr>
          <w:p>
            <w:pPr>
              <w:spacing w:after="0" w:before="0" w:line="300"/>
              <w:jc w:val="left"/>
            </w:pPr>
            <w:r>
              <w:rPr>
                <w:rFonts w:ascii="Lato" w:cs="Lato" w:eastAsia="Lato" w:hAnsi="Lato"/>
                <w:color w:val="1A1A1A"/>
                <w:sz w:val="18"/>
                <w:szCs w:val="18"/>
              </w:rPr>
              <w:t xml:space="preserve">Naples is the dominant Collier County provider with strong industry recognition. BlueClear is a respected regional firm with adequate local presence.</w:t>
            </w:r>
          </w:p>
        </w:tc>
      </w:tr>
      <w:tr>
        <w:tc>
          <w:tcPr>
            <w:tcW w:type="dxa" w:w="4100"/>
            <w:tcBorders>
              <w:top w:val="single" w:color="173F35" w:sz="8"/>
              <w:left w:val="single" w:color="173F35" w:sz="8"/>
              <w:bottom w:val="single" w:color="173F35" w:sz="8"/>
              <w:right w:val="single" w:color="173F35" w:sz="4"/>
            </w:tcBorders>
            <w:shd w:fill="173F35" w:color="auto" w:val="clear"/>
            <w:tcMar>
              <w:top w:type="dxa" w:w="160"/>
              <w:left w:type="dxa" w:w="100"/>
              <w:bottom w:type="dxa" w:w="160"/>
              <w:right w:type="dxa" w:w="100"/>
            </w:tcMar>
          </w:tcPr>
          <w:p>
            <w:pPr>
              <w:spacing w:after="0" w:before="0" w:line="300"/>
              <w:jc w:val="left"/>
            </w:pPr>
            <w:r>
              <w:rPr>
                <w:rFonts w:ascii="Lato" w:cs="Lato" w:eastAsia="Lato" w:hAnsi="Lato"/>
                <w:b/>
                <w:bCs/>
                <w:color w:val="FFFFFF"/>
                <w:sz w:val="22"/>
                <w:szCs w:val="22"/>
              </w:rPr>
              <w:t xml:space="preserve">TOTAL COMPARISON SCORE  (max 5.00)</w:t>
            </w:r>
          </w:p>
        </w:tc>
        <w:tc>
          <w:tcPr>
            <w:tcW w:type="dxa" w:w="3120"/>
            <w:tcBorders>
              <w:top w:val="single" w:color="173F35" w:sz="8"/>
              <w:left w:val="single" w:color="C9A24A" w:sz="4"/>
              <w:bottom w:val="single" w:color="173F35" w:sz="8"/>
              <w:right w:val="single" w:color="C9A24A" w:sz="4"/>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3.95</w:t>
            </w:r>
          </w:p>
        </w:tc>
        <w:tc>
          <w:tcPr>
            <w:tcW w:type="dxa" w:w="3120"/>
            <w:tcBorders>
              <w:top w:val="single" w:color="173F35" w:sz="8"/>
              <w:left w:val="single" w:color="C9A24A" w:sz="4"/>
              <w:bottom w:val="single" w:color="173F35" w:sz="8"/>
              <w:right w:val="single" w:color="C9A24A" w:sz="4"/>
            </w:tcBorders>
            <w:shd w:fill="EAE2C7" w:color="auto" w:val="clear"/>
            <w:tcMar>
              <w:top w:type="dxa" w:w="160"/>
              <w:left w:type="dxa" w:w="100"/>
              <w:bottom w:type="dxa" w:w="160"/>
              <w:right w:type="dxa" w:w="100"/>
            </w:tcMar>
          </w:tcPr>
          <w:p>
            <w:pPr>
              <w:spacing w:after="0" w:before="0" w:line="300"/>
              <w:jc w:val="center"/>
            </w:pPr>
            <w:r>
              <w:rPr>
                <w:rFonts w:ascii="Lato" w:cs="Lato" w:eastAsia="Lato" w:hAnsi="Lato"/>
                <w:b/>
                <w:bCs/>
                <w:color w:val="173F35"/>
                <w:sz w:val="24"/>
                <w:szCs w:val="24"/>
              </w:rPr>
              <w:t xml:space="preserve">4.40</w:t>
            </w:r>
          </w:p>
        </w:tc>
        <w:tc>
          <w:tcPr>
            <w:tcW w:type="dxa" w:w="3700"/>
            <w:tcBorders>
              <w:top w:val="single" w:color="173F35" w:sz="8"/>
              <w:left w:val="single" w:color="173F35" w:sz="4"/>
              <w:bottom w:val="single" w:color="173F35" w:sz="8"/>
              <w:right w:val="single" w:color="173F35" w:sz="8"/>
            </w:tcBorders>
            <w:shd w:fill="173F35" w:color="auto" w:val="clear"/>
            <w:tcMar>
              <w:top w:type="dxa" w:w="160"/>
              <w:left w:type="dxa" w:w="100"/>
              <w:bottom w:type="dxa" w:w="160"/>
              <w:right w:type="dxa" w:w="100"/>
            </w:tcMar>
          </w:tcPr>
          <w:p>
            <w:pPr>
              <w:spacing w:after="0" w:before="0" w:line="300"/>
              <w:jc w:val="left"/>
            </w:pPr>
            <w:r>
              <w:rPr>
                <w:rFonts w:ascii="Lato" w:cs="Lato" w:eastAsia="Lato" w:hAnsi="Lato"/>
                <w:i/>
                <w:iCs/>
                <w:color w:val="FFFFFF"/>
                <w:sz w:val="18"/>
                <w:szCs w:val="18"/>
              </w:rPr>
              <w:t xml:space="preserve">Σ (score × weight)</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RESULT</w:t>
            </w:r>
          </w:p>
          <w:p>
            <w:pPr>
              <w:spacing w:after="0" w:before="0" w:line="300"/>
              <w:jc w:val="left"/>
            </w:pPr>
            <w:r>
              <w:rPr>
                <w:rFonts w:ascii="Lato" w:cs="Lato" w:eastAsia="Lato" w:hAnsi="Lato"/>
                <w:b/>
                <w:bCs/>
                <w:color w:val="173F35"/>
                <w:sz w:val="22"/>
                <w:szCs w:val="22"/>
              </w:rPr>
              <w:t xml:space="preserve">Naples Pool Pros — 4.40  •  BlueClear Pool Service — 3.95</w:t>
            </w:r>
          </w:p>
        </w:tc>
      </w:tr>
    </w:tbl>
    <w:p>
      <w:pPr>
        <w:sectPr>
          <w:headerReference w:type="default" r:id="rId11"/>
          <w:footerReference w:type="default" r:id="rId12"/>
          <w:pgSz w:w="15840" w:h="12240" w:orient="landscape"/>
          <w:pgMar w:top="900" w:right="900" w:bottom="1080" w:left="900" w:header="540" w:footer="540" w:gutter="0"/>
          <w:pgNumType/>
          <w:docGrid w:linePitch="360"/>
        </w:sectPr>
      </w:pPr>
    </w:p>
    <w:p>
      <w:r>
        <w:br w:type="page"/>
      </w:r>
    </w:p>
    <w:p>
      <w:pPr>
        <w:spacing w:after="60" w:before="0"/>
      </w:pPr>
      <w:r>
        <w:rPr>
          <w:rFonts w:ascii="Lato" w:cs="Lato" w:eastAsia="Lato" w:hAnsi="Lato"/>
          <w:b/>
          <w:bCs/>
          <w:color w:val="C9A24A"/>
          <w:spacing w:val="100"/>
          <w:sz w:val="16"/>
          <w:szCs w:val="16"/>
        </w:rPr>
        <w:t xml:space="preserve">SECTION 6</w:t>
      </w:r>
    </w:p>
    <w:p>
      <w:pPr>
        <w:pStyle w:val="Heading1"/>
        <w:spacing w:after="160" w:before="280"/>
      </w:pPr>
      <w:r>
        <w:rPr>
          <w:rFonts w:ascii="Garamond" w:cs="Garamond" w:eastAsia="Garamond" w:hAnsi="Garamond"/>
          <w:b/>
          <w:bCs/>
          <w:color w:val="173F35"/>
          <w:sz w:val="40"/>
          <w:szCs w:val="40"/>
        </w:rPr>
        <w:t xml:space="preserve">Pricing Comparison</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Pricing pulled from each bidder’s Bid Sheet (Section 11 of the RFP). Coastal Aquatic Services included for reference only; not eligible for award.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LINE ITEM</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BLUECLEAR POOL SERVICE</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COASTAL AQUATIC SERVICES</w:t>
            </w:r>
          </w:p>
        </w:tc>
        <w:tc>
          <w:tcPr>
            <w:tcW w:type="dxa" w:w="2080"/>
            <w:tcBorders>
              <w:top w:val="single" w:color="173F35" w:sz="4"/>
              <w:left w:val="single" w:color="173F35" w:sz="4"/>
              <w:bottom w:val="single" w:color="173F35" w:sz="4"/>
              <w:right w:val="single" w:color="173F35" w:sz="4"/>
            </w:tcBorders>
            <w:shd w:fill="173F35" w:color="auto" w:val="clear"/>
            <w:tcMar>
              <w:top w:type="dxa" w:w="120"/>
              <w:left w:type="dxa" w:w="120"/>
              <w:bottom w:type="dxa" w:w="120"/>
              <w:right w:type="dxa" w:w="120"/>
            </w:tcMar>
          </w:tcPr>
          <w:p>
            <w:pPr>
              <w:spacing w:after="0" w:before="0" w:line="300"/>
              <w:jc w:val="left"/>
            </w:pPr>
            <w:r>
              <w:rPr>
                <w:rFonts w:ascii="Lato" w:cs="Lato" w:eastAsia="Lato" w:hAnsi="Lato"/>
                <w:b/>
                <w:bCs/>
                <w:color w:val="FFFFFF"/>
                <w:sz w:val="16"/>
                <w:szCs w:val="16"/>
              </w:rPr>
              <w:t xml:space="preserve">NAPLES POOL PROS</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Monthly</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$1,850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$1,720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$1,990</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1</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$22,200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$20,640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$23,880</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2 (3% escalator)</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$22,866</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$21,259</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$24,596</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Base Recurring Service — Year 3 (3% escalator)</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$23,552</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$21,897</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$25,334</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Annual Cartridge Replacement (per filter)</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incl.</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$280</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incl.</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Hurricane Secure-and-Restart (per event)</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$650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$520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$580</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As-Needed Pool Technician (per hour)</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$72</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$66</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$85</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Materials / Pass-Through Markup</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12%</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10%</w:t>
            </w:r>
          </w:p>
        </w:tc>
        <w:tc>
          <w:tcPr>
            <w:tcW w:type="dxa" w:w="2080"/>
            <w:tcBorders>
              <w:top w:val="single" w:color="BFBFBF" w:sz="4"/>
              <w:left w:val="single" w:color="BFBFBF" w:sz="4"/>
              <w:bottom w:val="single" w:color="BFBFBF" w:sz="4"/>
              <w:right w:val="single" w:color="BFBFBF" w:sz="4"/>
            </w:tcBorders>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14%</w:t>
            </w:r>
          </w:p>
        </w:tc>
      </w:tr>
      <w:tr>
        <w:tc>
          <w:tcPr>
            <w:tcW w:type="dxa" w:w="3120"/>
            <w:tcBorders>
              <w:top w:val="single" w:color="BFBFBF" w:sz="4"/>
              <w:left w:val="single" w:color="BFBFBF" w:sz="4"/>
              <w:bottom w:val="single" w:color="BFBFBF" w:sz="4"/>
              <w:right w:val="single" w:color="BFBFBF" w:sz="4"/>
            </w:tcBorders>
            <w:shd w:fill="DDE7E2" w:color="auto" w:val="clear"/>
            <w:tcMar>
              <w:top w:type="dxa" w:w="140"/>
              <w:left w:type="dxa" w:w="120"/>
              <w:bottom w:type="dxa" w:w="140"/>
              <w:right w:type="dxa" w:w="120"/>
            </w:tcMar>
          </w:tcPr>
          <w:p>
            <w:pPr>
              <w:spacing w:after="0" w:before="0" w:line="300"/>
              <w:jc w:val="left"/>
            </w:pPr>
            <w:r>
              <w:rPr>
                <w:rFonts w:ascii="Lato" w:cs="Lato" w:eastAsia="Lato" w:hAnsi="Lato"/>
                <w:b/>
                <w:bCs/>
                <w:color w:val="173F35"/>
                <w:sz w:val="22"/>
                <w:szCs w:val="22"/>
              </w:rPr>
              <w:t xml:space="preserve">TOTAL 3-YEAR COST (base recurring + escalators)</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$68,618</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$63,796</w:t>
            </w:r>
          </w:p>
        </w:tc>
        <w:tc>
          <w:tcPr>
            <w:tcW w:type="dxa" w:w="2080"/>
            <w:tcBorders>
              <w:top w:val="single" w:color="BFBFBF" w:sz="4"/>
              <w:left w:val="single" w:color="BFBFBF" w:sz="4"/>
              <w:bottom w:val="single" w:color="BFBFBF" w:sz="4"/>
              <w:right w:val="single" w:color="BFBFBF" w:sz="4"/>
            </w:tcBorders>
            <w:shd w:fill="F7F1DF" w:color="auto" w:val="clear"/>
            <w:tcMar>
              <w:top w:type="dxa" w:w="140"/>
              <w:left w:type="dxa" w:w="120"/>
              <w:bottom w:type="dxa" w:w="140"/>
              <w:right w:type="dxa" w:w="120"/>
            </w:tcMar>
          </w:tcPr>
          <w:p>
            <w:pPr>
              <w:spacing w:after="0" w:before="0" w:line="300"/>
              <w:jc w:val="right"/>
            </w:pPr>
            <w:r>
              <w:rPr>
                <w:rFonts w:ascii="Lato" w:cs="Lato" w:eastAsia="Lato" w:hAnsi="Lato"/>
                <w:color w:val="1A1A1A"/>
                <w:sz w:val="22"/>
                <w:szCs w:val="22"/>
              </w:rPr>
              <w:t xml:space="preserve">$73,810</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NOTE ON COASTAL AQUATIC</w:t>
            </w:r>
          </w:p>
          <w:p>
            <w:pPr>
              <w:spacing w:after="0" w:before="0" w:line="300"/>
              <w:jc w:val="left"/>
            </w:pPr>
            <w:r>
              <w:rPr>
                <w:rFonts w:ascii="Lato" w:cs="Lato" w:eastAsia="Lato" w:hAnsi="Lato"/>
                <w:color w:val="1A1A1A"/>
                <w:sz w:val="22"/>
                <w:szCs w:val="22"/>
              </w:rPr>
              <w:t xml:space="preserve">Coastal Aquatic’s pricing is shown for transparency. Because Coastal Aquatic was disqualified at threshold (Section 4) for failing to provide three reachable references, its pricing is not eligible to drive the award decision and was not used in tie-breaker analysis.</w:t>
            </w:r>
          </w:p>
        </w:tc>
      </w:tr>
    </w:tbl>
    <w:p>
      <w:r>
        <w:br w:type="page"/>
      </w:r>
    </w:p>
    <w:p>
      <w:pPr>
        <w:spacing w:after="60" w:before="0"/>
      </w:pPr>
      <w:r>
        <w:rPr>
          <w:rFonts w:ascii="Lato" w:cs="Lato" w:eastAsia="Lato" w:hAnsi="Lato"/>
          <w:b/>
          <w:bCs/>
          <w:color w:val="C9A24A"/>
          <w:spacing w:val="100"/>
          <w:sz w:val="16"/>
          <w:szCs w:val="16"/>
        </w:rPr>
        <w:t xml:space="preserve">SECTION 7</w:t>
      </w:r>
    </w:p>
    <w:p>
      <w:pPr>
        <w:pStyle w:val="Heading1"/>
        <w:spacing w:after="160" w:before="280"/>
      </w:pPr>
      <w:r>
        <w:rPr>
          <w:rFonts w:ascii="Garamond" w:cs="Garamond" w:eastAsia="Garamond" w:hAnsi="Garamond"/>
          <w:b/>
          <w:bCs/>
          <w:color w:val="173F35"/>
          <w:sz w:val="40"/>
          <w:szCs w:val="40"/>
        </w:rPr>
        <w:t xml:space="preserve">Tie-Breaker Procedure</w:t>
      </w:r>
    </w:p>
    <w:p>
      <w:pPr>
        <w:pBdr>
          <w:bottom w:val="single" w:color="C9A24A" w:sz="8" w:space="1"/>
        </w:pBdr>
        <w:spacing w:after="120" w:before="80"/>
      </w:pPr>
      <w:r>
        <w:t xml:space="preserve"/>
      </w:r>
    </w:p>
    <w:p>
      <w:pPr>
        <w:spacing w:after="100" w:before="0" w:line="320"/>
        <w:jc w:val="left"/>
      </w:pPr>
      <w:r>
        <w:rPr>
          <w:rFonts w:ascii="Lato" w:cs="Lato" w:eastAsia="Lato" w:hAnsi="Lato"/>
          <w:color w:val="1A1A1A"/>
          <w:sz w:val="22"/>
          <w:szCs w:val="22"/>
        </w:rPr>
        <w:t xml:space="preserve">Tie-breaker not invoked.</w:t>
      </w:r>
    </w:p>
    <w:p>
      <w:pPr>
        <w:pStyle w:val="ListParagraph"/>
        <w:numPr>
          <w:ilvl w:val="0"/>
          <w:numId w:val="2"/>
        </w:numPr>
        <w:spacing w:after="60" w:before="40" w:line="290"/>
      </w:pPr>
      <w:r>
        <w:rPr>
          <w:rFonts w:ascii="Lato" w:cs="Lato" w:eastAsia="Lato" w:hAnsi="Lato"/>
          <w:b/>
          <w:bCs/>
          <w:color w:val="173F35"/>
          <w:sz w:val="22"/>
          <w:szCs w:val="22"/>
        </w:rPr>
        <w:t xml:space="preserve">Score lead </w:t>
      </w:r>
      <w:r>
        <w:rPr>
          <w:rFonts w:ascii="Lato" w:cs="Lato" w:eastAsia="Lato" w:hAnsi="Lato"/>
          <w:color w:val="1A1A1A"/>
          <w:sz w:val="22"/>
          <w:szCs w:val="22"/>
        </w:rPr>
        <w:t xml:space="preserve">(Naples Pool Pros 4.40 vs. BlueClear Pool Service 3.95) is 0.45 points — well outside the 0.20 tie-breaker band.</w:t>
      </w:r>
    </w:p>
    <w:p>
      <w:pPr>
        <w:pStyle w:val="ListParagraph"/>
        <w:numPr>
          <w:ilvl w:val="0"/>
          <w:numId w:val="2"/>
        </w:numPr>
        <w:spacing w:after="60" w:before="40" w:line="290"/>
      </w:pPr>
      <w:r>
        <w:rPr>
          <w:rFonts w:ascii="Lato" w:cs="Lato" w:eastAsia="Lato" w:hAnsi="Lato"/>
          <w:b/>
          <w:bCs/>
          <w:color w:val="173F35"/>
          <w:sz w:val="22"/>
          <w:szCs w:val="22"/>
        </w:rPr>
        <w:t xml:space="preserve">Pricing differential </w:t>
      </w:r>
      <w:r>
        <w:rPr>
          <w:rFonts w:ascii="Lato" w:cs="Lato" w:eastAsia="Lato" w:hAnsi="Lato"/>
          <w:color w:val="1A1A1A"/>
          <w:sz w:val="22"/>
          <w:szCs w:val="22"/>
        </w:rPr>
        <w:t xml:space="preserve">between Naples and BlueClear is $5,192 (≈ 7.6% of BlueClear’s 3-year cost) — outside the 2% tie-breaker band.</w:t>
      </w:r>
    </w:p>
    <w:p>
      <w:r>
        <w:br w:type="page"/>
      </w:r>
    </w:p>
    <w:p>
      <w:pPr>
        <w:spacing w:after="60" w:before="0"/>
      </w:pPr>
      <w:r>
        <w:rPr>
          <w:rFonts w:ascii="Lato" w:cs="Lato" w:eastAsia="Lato" w:hAnsi="Lato"/>
          <w:b/>
          <w:bCs/>
          <w:color w:val="C9A24A"/>
          <w:spacing w:val="100"/>
          <w:sz w:val="16"/>
          <w:szCs w:val="16"/>
        </w:rPr>
        <w:t xml:space="preserve">SECTION 8</w:t>
      </w:r>
    </w:p>
    <w:p>
      <w:pPr>
        <w:pStyle w:val="Heading1"/>
        <w:spacing w:after="160" w:before="280"/>
      </w:pPr>
      <w:r>
        <w:rPr>
          <w:rFonts w:ascii="Garamond" w:cs="Garamond" w:eastAsia="Garamond" w:hAnsi="Garamond"/>
          <w:b/>
          <w:bCs/>
          <w:color w:val="173F35"/>
          <w:sz w:val="40"/>
          <w:szCs w:val="40"/>
        </w:rPr>
        <w:t xml:space="preserve">Conflicts of Interest in Evaluation</w:t>
      </w:r>
    </w:p>
    <w:p>
      <w:pPr>
        <w:pBdr>
          <w:bottom w:val="single" w:color="C9A24A" w:sz="8" w:space="1"/>
        </w:pBdr>
        <w:spacing w:after="120" w:before="80"/>
      </w:pPr>
      <w:r>
        <w:t xml:space="preserve"/>
      </w:r>
    </w:p>
    <w:p>
      <w:pPr>
        <w:spacing w:after="0" w:before="0" w:line="320"/>
        <w:jc w:val="left"/>
      </w:pPr>
      <w:r>
        <w:rPr>
          <w:rFonts w:ascii="Lato" w:cs="Lato" w:eastAsia="Lato" w:hAnsi="Lato"/>
          <w:color w:val="1A1A1A"/>
          <w:sz w:val="22"/>
          <w:szCs w:val="22"/>
        </w:rPr>
        <w:t xml:space="preserve">No conflicts of interest were disclosed by any evaluator with respect to any of the three bidders. Fla. Stat. §§ 718.3027 (condominium) and 720.3033 (HOA) procedures are not implicated. Article 3 of the Tarpon Bay Code of Ethics was followed; no recusals were required.</w:t>
      </w:r>
    </w:p>
    <w:p>
      <w:r>
        <w:br w:type="page"/>
      </w:r>
    </w:p>
    <w:p>
      <w:pPr>
        <w:spacing w:after="60" w:before="0"/>
      </w:pPr>
      <w:r>
        <w:rPr>
          <w:rFonts w:ascii="Lato" w:cs="Lato" w:eastAsia="Lato" w:hAnsi="Lato"/>
          <w:b/>
          <w:bCs/>
          <w:color w:val="C9A24A"/>
          <w:spacing w:val="100"/>
          <w:sz w:val="16"/>
          <w:szCs w:val="16"/>
        </w:rPr>
        <w:t xml:space="preserve">SECTION 9</w:t>
      </w:r>
    </w:p>
    <w:p>
      <w:pPr>
        <w:pStyle w:val="Heading1"/>
        <w:spacing w:after="160" w:before="280"/>
      </w:pPr>
      <w:r>
        <w:rPr>
          <w:rFonts w:ascii="Garamond" w:cs="Garamond" w:eastAsia="Garamond" w:hAnsi="Garamond"/>
          <w:b/>
          <w:bCs/>
          <w:color w:val="173F35"/>
          <w:sz w:val="40"/>
          <w:szCs w:val="40"/>
        </w:rPr>
        <w:t xml:space="preserve">Award Recommendation Memo</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MEMO TO</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Board of Directors, Tarpon Bay Condominium Association, Inc.</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FROM</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Evaluation Committee (Hill, Reilly, Park)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October 21, 2026</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RE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Award Recommendation — Swimming Pool &amp; Spa Service — RFP # 2026-08-POOL</w:t>
            </w:r>
          </w:p>
        </w:tc>
      </w:tr>
    </w:tbl>
    <w:p>
      <w:pPr>
        <w:spacing w:after="8" w:before="8"/>
      </w:pPr>
      <w:r>
        <w:rPr>
          <w:sz w:val="2"/>
          <w:szCs w:val="2"/>
        </w:rPr>
        <w:t xml:space="preserve"/>
      </w:r>
    </w:p>
    <w:p>
      <w:pPr>
        <w:pStyle w:val="Heading3"/>
        <w:spacing w:after="160" w:before="280"/>
      </w:pPr>
      <w:r>
        <w:rPr>
          <w:rFonts w:ascii="Garamond" w:cs="Garamond" w:eastAsia="Garamond" w:hAnsi="Garamond"/>
          <w:b/>
          <w:bCs/>
          <w:color w:val="173F35"/>
          <w:sz w:val="26"/>
          <w:szCs w:val="26"/>
        </w:rPr>
        <w:t xml:space="preserve">Findings</w:t>
      </w:r>
    </w:p>
    <w:p>
      <w:pPr>
        <w:spacing w:after="100" w:before="0" w:line="300"/>
        <w:jc w:val="left"/>
      </w:pPr>
      <w:r>
        <w:rPr>
          <w:rFonts w:ascii="Lato" w:cs="Lato" w:eastAsia="Lato" w:hAnsi="Lato"/>
          <w:color w:val="1A1A1A"/>
          <w:sz w:val="22"/>
          <w:szCs w:val="22"/>
        </w:rPr>
        <w:t xml:space="preserve">Three (3) proposals were received in response to RFP # 2026-08-POOL on or before the October 2, 2026 deadline:</w:t>
      </w:r>
    </w:p>
    <w:p>
      <w:pPr>
        <w:pStyle w:val="ListParagraph"/>
        <w:numPr>
          <w:ilvl w:val="0"/>
          <w:numId w:val="2"/>
        </w:numPr>
        <w:spacing w:after="60" w:before="40" w:line="290"/>
      </w:pPr>
      <w:r>
        <w:rPr>
          <w:rFonts w:ascii="Lato" w:cs="Lato" w:eastAsia="Lato" w:hAnsi="Lato"/>
          <w:color w:val="1A1A1A"/>
          <w:sz w:val="22"/>
          <w:szCs w:val="22"/>
        </w:rPr>
        <w:t xml:space="preserve">BlueClear Pool Service — Total 3-Year Cost: $68,618 — Total Comparison Score: 3.95 — ADVANCED past threshold.</w:t>
      </w:r>
    </w:p>
    <w:p>
      <w:pPr>
        <w:pStyle w:val="ListParagraph"/>
        <w:numPr>
          <w:ilvl w:val="0"/>
          <w:numId w:val="2"/>
        </w:numPr>
        <w:spacing w:after="60" w:before="40" w:line="290"/>
      </w:pPr>
      <w:r>
        <w:rPr>
          <w:rFonts w:ascii="Lato" w:cs="Lato" w:eastAsia="Lato" w:hAnsi="Lato"/>
          <w:color w:val="1A1A1A"/>
          <w:sz w:val="22"/>
          <w:szCs w:val="22"/>
        </w:rPr>
        <w:t xml:space="preserve">Coastal Aquatic Services — Total 3-Year Cost: $63,796 — DISQUALIFIED at threshold (only 2 of 3 references reachable). Not scored.</w:t>
      </w:r>
    </w:p>
    <w:p>
      <w:pPr>
        <w:pStyle w:val="ListParagraph"/>
        <w:numPr>
          <w:ilvl w:val="0"/>
          <w:numId w:val="2"/>
        </w:numPr>
        <w:spacing w:after="60" w:before="40" w:line="290"/>
      </w:pPr>
      <w:r>
        <w:rPr>
          <w:rFonts w:ascii="Lato" w:cs="Lato" w:eastAsia="Lato" w:hAnsi="Lato"/>
          <w:color w:val="1A1A1A"/>
          <w:sz w:val="22"/>
          <w:szCs w:val="22"/>
        </w:rPr>
        <w:t xml:space="preserve">Naples Pool Pros — Total 3-Year Cost: $73,810 — Total Comparison Score: 4.40 — ADVANCED past threshold.</w:t>
      </w:r>
    </w:p>
    <w:p>
      <w:pPr>
        <w:spacing w:after="100" w:before="0" w:line="320"/>
        <w:jc w:val="left"/>
      </w:pPr>
      <w:r>
        <w:rPr>
          <w:rFonts w:ascii="Lato" w:cs="Lato" w:eastAsia="Lato" w:hAnsi="Lato"/>
          <w:color w:val="1A1A1A"/>
          <w:sz w:val="22"/>
          <w:szCs w:val="22"/>
        </w:rPr>
        <w:t xml:space="preserve">Coastal Aquatic was notified of disqualification in writing on October 12, 2026, and offered the opportunity to provide a substitute reference, which was declined.</w:t>
      </w:r>
    </w:p>
    <w:p>
      <w:pPr>
        <w:spacing w:after="200" w:before="0" w:line="320"/>
        <w:jc w:val="left"/>
      </w:pPr>
      <w:r>
        <w:rPr>
          <w:rFonts w:ascii="Lato" w:cs="Lato" w:eastAsia="Lato" w:hAnsi="Lato"/>
          <w:color w:val="1A1A1A"/>
          <w:sz w:val="22"/>
          <w:szCs w:val="22"/>
        </w:rPr>
        <w:t xml:space="preserve">No conflicts of interest were disclosed. Fla. Stat. §§ 718.3027 / 720.3033 procedures are not implicated.</w:t>
      </w:r>
    </w:p>
    <w:p>
      <w:pPr>
        <w:pStyle w:val="Heading3"/>
        <w:spacing w:after="160" w:before="280"/>
      </w:pPr>
      <w:r>
        <w:rPr>
          <w:rFonts w:ascii="Garamond" w:cs="Garamond" w:eastAsia="Garamond" w:hAnsi="Garamond"/>
          <w:b/>
          <w:bCs/>
          <w:color w:val="173F35"/>
          <w:sz w:val="26"/>
          <w:szCs w:val="26"/>
        </w:rPr>
        <w:t xml:space="preserve">Recommendation</w:t>
      </w:r>
    </w:p>
    <w:p>
      <w:pPr>
        <w:spacing w:after="100" w:before="0" w:line="320"/>
        <w:jc w:val="left"/>
      </w:pPr>
      <w:r>
        <w:rPr>
          <w:rFonts w:ascii="Lato" w:cs="Lato" w:eastAsia="Lato" w:hAnsi="Lato"/>
          <w:color w:val="1A1A1A"/>
          <w:sz w:val="22"/>
          <w:szCs w:val="22"/>
        </w:rPr>
        <w:t xml:space="preserve">The Evaluation Committee recommends award to Naples Pool Pros at a Total 3-Year Cost of $73,810 — approximately $5,192 (7.6%) higher than the lowest-priced technically acceptable bidder, BlueClear Pool Service.</w:t>
      </w:r>
    </w:p>
    <w:p>
      <w:pPr>
        <w:spacing w:after="100" w:before="0" w:line="320"/>
        <w:jc w:val="left"/>
      </w:pPr>
      <w:r>
        <w:rPr>
          <w:rFonts w:ascii="Lato" w:cs="Lato" w:eastAsia="Lato" w:hAnsi="Lato"/>
          <w:color w:val="1A1A1A"/>
          <w:sz w:val="22"/>
          <w:szCs w:val="22"/>
        </w:rPr>
        <w:t xml:space="preserve">This award departs from the lowest-priced, technically acceptable rule. The Committee documents the basis for the departure as follows:</w:t>
      </w:r>
    </w:p>
    <w:p>
      <w:pPr>
        <w:pStyle w:val="ListParagraph"/>
        <w:numPr>
          <w:ilvl w:val="0"/>
          <w:numId w:val="2"/>
        </w:numPr>
        <w:spacing w:after="60" w:before="40" w:line="290"/>
      </w:pPr>
      <w:r>
        <w:rPr>
          <w:rFonts w:ascii="Lato" w:cs="Lato" w:eastAsia="Lato" w:hAnsi="Lato"/>
          <w:color w:val="1A1A1A"/>
          <w:sz w:val="22"/>
          <w:szCs w:val="22"/>
        </w:rPr>
        <w:t xml:space="preserve">Past Performance — Naples submitted three (3) references, all comparable Collier County condominium associations subject to Fla. Stat. Ch. 718. BlueClear’s references included two condominiums and one country club, less directly comparable.</w:t>
      </w:r>
    </w:p>
    <w:p>
      <w:pPr>
        <w:pStyle w:val="ListParagraph"/>
        <w:numPr>
          <w:ilvl w:val="0"/>
          <w:numId w:val="2"/>
        </w:numPr>
        <w:spacing w:after="60" w:before="40" w:line="290"/>
      </w:pPr>
      <w:r>
        <w:rPr>
          <w:rFonts w:ascii="Lato" w:cs="Lato" w:eastAsia="Lato" w:hAnsi="Lato"/>
          <w:color w:val="1A1A1A"/>
          <w:sz w:val="22"/>
          <w:szCs w:val="22"/>
        </w:rPr>
        <w:t xml:space="preserve">Quality Approach — Naples submitted a written chemistry program with documented Fla. Admin. Code Ch. 64E-9 compliance procedures and a hurricane response checklist tested at three other Naples-area condominiums during the 2025 storm season. BlueClear’s plan met requirements but was less detailed and not Florida-storm-tested.</w:t>
      </w:r>
    </w:p>
    <w:p>
      <w:pPr>
        <w:pStyle w:val="ListParagraph"/>
        <w:numPr>
          <w:ilvl w:val="0"/>
          <w:numId w:val="2"/>
        </w:numPr>
        <w:spacing w:after="60" w:before="40" w:line="290"/>
      </w:pPr>
      <w:r>
        <w:rPr>
          <w:rFonts w:ascii="Lato" w:cs="Lato" w:eastAsia="Lato" w:hAnsi="Lato"/>
          <w:color w:val="1A1A1A"/>
          <w:sz w:val="22"/>
          <w:szCs w:val="22"/>
        </w:rPr>
        <w:t xml:space="preserve">Credentials — Naples’s lead technicians hold both CPO and Aquatic Facility Operator certifications. BlueClear’s lead technicians hold CPO.</w:t>
      </w:r>
    </w:p>
    <w:p>
      <w:pPr>
        <w:pStyle w:val="ListParagraph"/>
        <w:numPr>
          <w:ilvl w:val="0"/>
          <w:numId w:val="2"/>
        </w:numPr>
        <w:spacing w:after="60" w:before="40" w:line="290"/>
      </w:pPr>
      <w:r>
        <w:rPr>
          <w:rFonts w:ascii="Lato" w:cs="Lato" w:eastAsia="Lato" w:hAnsi="Lato"/>
          <w:color w:val="1A1A1A"/>
          <w:sz w:val="22"/>
          <w:szCs w:val="22"/>
        </w:rPr>
        <w:t xml:space="preserve">Insurance Depth — Naples carries $5M umbrella vs. BlueClear’s $2M. The additional capacity is meaningful given the Association’s liability exposure under Fla. Stat. § 718.111(11).</w:t>
      </w:r>
    </w:p>
    <w:p>
      <w:pPr>
        <w:pStyle w:val="ListParagraph"/>
        <w:numPr>
          <w:ilvl w:val="0"/>
          <w:numId w:val="2"/>
        </w:numPr>
        <w:spacing w:after="60" w:before="40" w:line="290"/>
      </w:pPr>
      <w:r>
        <w:rPr>
          <w:rFonts w:ascii="Lato" w:cs="Lato" w:eastAsia="Lato" w:hAnsi="Lato"/>
          <w:color w:val="1A1A1A"/>
          <w:sz w:val="22"/>
          <w:szCs w:val="22"/>
        </w:rPr>
        <w:t xml:space="preserve">Total Comparison Score — 4.40 vs. 3.95, a 0.45-point lead substantially exceeding the worksheet tie-breaker band.</w:t>
      </w:r>
    </w:p>
    <w:p>
      <w:pPr>
        <w:pStyle w:val="Heading3"/>
        <w:spacing w:after="160" w:before="280"/>
      </w:pPr>
      <w:r>
        <w:rPr>
          <w:rFonts w:ascii="Garamond" w:cs="Garamond" w:eastAsia="Garamond" w:hAnsi="Garamond"/>
          <w:b/>
          <w:bCs/>
          <w:color w:val="173F35"/>
          <w:sz w:val="26"/>
          <w:szCs w:val="26"/>
        </w:rPr>
        <w:t xml:space="preserve">Florida § 718.3026 Compliance</w:t>
      </w:r>
    </w:p>
    <w:p>
      <w:pPr>
        <w:spacing w:after="200" w:before="0" w:line="320"/>
        <w:jc w:val="left"/>
      </w:pPr>
      <w:r>
        <w:rPr>
          <w:rFonts w:ascii="Lato" w:cs="Lato" w:eastAsia="Lato" w:hAnsi="Lato"/>
          <w:color w:val="1A1A1A"/>
          <w:sz w:val="22"/>
          <w:szCs w:val="22"/>
        </w:rPr>
        <w:t xml:space="preserve">Counsel has reviewed this evaluation and confirmed that the Association complied with the competitive-bid procedures applicable under Fla. Stat. § 718.3026 as currently in effect. The award recommendation has been prepared with the supporting record (RFP, three proposals received, scoring worksheet, this memo, and meeting minutes) for inclusion in the Association’s permanent records.</w:t>
      </w:r>
    </w:p>
    <w:p>
      <w:pPr>
        <w:pStyle w:val="Heading3"/>
        <w:spacing w:after="160" w:before="280"/>
      </w:pPr>
      <w:r>
        <w:rPr>
          <w:rFonts w:ascii="Garamond" w:cs="Garamond" w:eastAsia="Garamond" w:hAnsi="Garamond"/>
          <w:b/>
          <w:bCs/>
          <w:color w:val="173F35"/>
          <w:sz w:val="26"/>
          <w:szCs w:val="26"/>
        </w:rPr>
        <w:t xml:space="preserve">Proposed Resolution</w:t>
      </w:r>
    </w:p>
    <w:p>
      <w:pPr>
        <w:spacing w:after="200" w:before="0" w:line="320"/>
        <w:jc w:val="left"/>
      </w:pPr>
      <w:r>
        <w:rPr>
          <w:rFonts w:ascii="Lato" w:cs="Lato" w:eastAsia="Lato" w:hAnsi="Lato"/>
          <w:color w:val="1A1A1A"/>
          <w:sz w:val="22"/>
          <w:szCs w:val="22"/>
        </w:rPr>
        <w:t xml:space="preserve">RESOLVED, that the Board of Directors of Tarpon Bay Condominium Association, Inc. hereby awards the Swimming Pool &amp; Spa Service contract to Naples Pool Pros for a 12-month period beginning January 1, 2027, with two (2) one-year renewal options at the Association’s sole discretion, at the prices stated in Naples Pool Pros’s Bid Sheet dated September 30, 2026, on the terms substantially as set forth in RFP # 2026-08-POOL, subject to negotiation and execution of a written services agreement by the Board President on or before December 1, 2026.</w:t>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Evaluator / Chair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60" w:before="320"/>
            </w:pPr>
            <w:r>
              <w:rPr>
                <w:rFonts w:ascii="Lato" w:cs="Lato" w:eastAsia="Lato" w:hAnsi="Lato"/>
                <w:b/>
                <w:bCs/>
                <w:color w:val="1A1A1A"/>
                <w:sz w:val="22"/>
                <w:szCs w:val="22"/>
              </w:rPr>
              <w:t xml:space="preserve">Manager</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13"/>
      <w:footerReference w:type="default" r:id="rId14"/>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Comparative Evaluation  •  Pool &amp; Spa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Score Matrix  •  Sample Comparative Evaluation  •  Pool &amp; Spa (FL)</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Sample Comparative Evaluation  •  Pool &amp; Spa  •  Florida</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Pool &amp; Spa (FL)</w:t>
    </w:r>
  </w:p>
  <w:p>
    <w:pPr>
      <w:pBdr>
        <w:bottom w:val="single" w:color="C9A24A" w:sz="6" w:space="1"/>
      </w:pBdr>
      <w:spacing w:after="0" w:before="60"/>
    </w:pPr>
    <w:r>
      <w:t xml:space="preserv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Pool &amp; Spa (FL)  /  Score Matrix</w:t>
    </w:r>
  </w:p>
  <w:p>
    <w:pPr>
      <w:pBdr>
        <w:bottom w:val="single" w:color="C9A24A" w:sz="6" w:space="1"/>
      </w:pBdr>
      <w:spacing w:after="0" w:before="60"/>
    </w:pPr>
    <w:r>
      <w:t xml:space="preserv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Sample Eval — Pool &amp; Spa (FL)</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Comparative Evaluation — Pool &amp; Spa (Florida)</dc:title>
  <dc:creator>Common Interest Community Standards Council (CIC-SC)</dc:creator>
  <dc:description>CIC-SC standalone draft (illustrative).</dc:description>
  <cp:lastModifiedBy>Un-named</cp:lastModifiedBy>
  <cp:revision>1</cp:revision>
  <dcterms:created xsi:type="dcterms:W3CDTF">2026-05-10T21:41:26.812Z</dcterms:created>
  <dcterms:modified xsi:type="dcterms:W3CDTF">2026-05-10T21:41:26.812Z</dcterms:modified>
</cp:coreProperties>
</file>

<file path=docProps/custom.xml><?xml version="1.0" encoding="utf-8"?>
<Properties xmlns="http://schemas.openxmlformats.org/officeDocument/2006/custom-properties" xmlns:vt="http://schemas.openxmlformats.org/officeDocument/2006/docPropsVTypes"/>
</file>