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Comparative Evaluation  /  Standalone Draft / Landscape Sample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Comparative</w:t>
      </w:r>
    </w:p>
    <w:p>
      <w:pPr>
        <w:spacing w:after="240" w:before="0"/>
        <w:jc w:val="left"/>
      </w:pPr>
      <w:r>
        <w:rPr>
          <w:rFonts w:ascii="Garamond" w:cs="Garamond" w:eastAsia="Garamond" w:hAnsi="Garamond"/>
          <w:i/>
          <w:iCs/>
          <w:color w:val="173F35"/>
          <w:sz w:val="60"/>
          <w:szCs w:val="60"/>
        </w:rPr>
        <w:t xml:space="preserve">Proposal Evaluation</w:t>
      </w:r>
    </w:p>
    <w:p>
      <w:pPr>
        <w:spacing w:after="1200" w:before="80"/>
        <w:jc w:val="left"/>
      </w:pPr>
      <w:r>
        <w:rPr>
          <w:rFonts w:ascii="Lato" w:cs="Lato" w:eastAsia="Lato" w:hAnsi="Lato"/>
          <w:color w:val="1A1A1A"/>
          <w:sz w:val="24"/>
          <w:szCs w:val="24"/>
        </w:rPr>
        <w:t xml:space="preserve">Sample completed evaluation for the Cypress Ridge Community Association Landscape &amp; Grounds Maintenance RFP. Three bidders fully scored; award recommendation populated.</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Texas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Comparative Proposal Evaluation Worksheet  •  Sample RFP — Landscape (TX)  •  RFP Tier 1/2 Adoption-Ready Template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SCORED EXAMPLE</w:t>
            </w:r>
          </w:p>
          <w:p>
            <w:pPr>
              <w:spacing w:after="0" w:before="0" w:line="300"/>
              <w:jc w:val="left"/>
            </w:pPr>
            <w:r>
              <w:rPr>
                <w:rFonts w:ascii="Lato" w:cs="Lato" w:eastAsia="Lato" w:hAnsi="Lato"/>
                <w:color w:val="1A1A1A"/>
                <w:sz w:val="22"/>
                <w:szCs w:val="22"/>
              </w:rPr>
              <w:t xml:space="preserve">This sample is a completed evaluation for a fictional Texas HOA. The three bidders, their scores, the pricing, and the award recommendation are illustrative — replace them with your association’s information before issuing. The methodology, weights, threshold filter, and memo language reflect CIC-SC best practice for a Tier 1–2 landscape evaluation.</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Ridge Community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27500 Cypress Ridge Parkway, Cypress, Texas 77433</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Landscape &amp; Grounds Maintenance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2026-08-LANDSCAPE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Performance Period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January 1, 2027  through  December 31, 2027 (with two annual renewal options)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Proposals Due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September 29,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Evaluation Window</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September 30 – October 9,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Recommended Award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23, 2026</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Evaluators &amp; Recusal Log</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Evaluator</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Role</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Affirmation Date</w:t>
            </w:r>
          </w:p>
        </w:tc>
      </w:tr>
      <w:tr>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Diane Marquez</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Community Manager</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September 30, 2026</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Robert Chen</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Board Treasurer (Landscape Liaison)</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September 30, 2026</w:t>
            </w:r>
          </w:p>
        </w:tc>
      </w:tr>
      <w:tr>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Linda Sutton</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Landscape Committee Chair</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September 30, 2026</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Recusal 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NO CONFLICTS DISCLOSED</w:t>
            </w:r>
          </w:p>
          <w:p>
            <w:pPr>
              <w:spacing w:after="0" w:before="0" w:line="300"/>
              <w:jc w:val="left"/>
            </w:pPr>
            <w:r>
              <w:rPr>
                <w:rFonts w:ascii="Lato" w:cs="Lato" w:eastAsia="Lato" w:hAnsi="Lato"/>
                <w:color w:val="1A1A1A"/>
                <w:sz w:val="22"/>
                <w:szCs w:val="22"/>
              </w:rPr>
              <w:t xml:space="preserve">All three evaluators completed the Annual Conflict of Interest Disclosure on or before September 30, 2026. No conflicts were disclosed with respect to any of the three bidders for this RFP. All three evaluators independently scored each bidder.</w:t>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Bidder Profile Summary</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FIELD</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GREENLINE LANDSCAPE GROUP</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CYPRESS TURF &amp; CO.</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APEX LANDSCAPE SERVICES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 Founded</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2008</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2014</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2003</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Years in Landscape</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12</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11</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22</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Permanent Employees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62</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38</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118</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Last Year Revenue</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$8.4M</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$3.9M</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$24.6M</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TDA Pesticide License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TDA #4231</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TDA #5187</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TDA #2945</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References Provided</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Insurance Section 9 Met</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Site Visit Attended</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Conflict Disclosed</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Threshold Pass / Fail Filter</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All three bidders passed every threshold criterion. No threshold disqualifications.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800"/>
        <w:gridCol w:w="1800"/>
        <w:gridCol w:w="1800"/>
      </w:tblGrid>
      <w:tr>
        <w:trPr>
          <w:tblHeader/>
        </w:trPr>
        <w:tc>
          <w:tcPr>
            <w:tcW w:type="dxa" w:w="39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THRESHOLD CRITERION</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GREENLINE LANDSCAPE GROUP</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CYPRESS TURF &amp; CO.</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APEX LANDSCAPE SERVICES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Insurance Certificate evidences Section 9 coverage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All required forms submitted, signed, and complete</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Three (3) reachable references confirm satisfactory performance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Vendor licensed for the scope (TDA pesticide applicator)</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No undisclosed conflict with Director / Officer / Committee / Manager</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Bidder attended the mandatory September 8, 2026 site visit</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Pricing valid 60 days after Proposal Due Date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C9A24A" w:sz="8"/>
              <w:left w:val="single" w:color="C9A24A" w:sz="8"/>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bCs/>
                <w:color w:val="173F35"/>
                <w:sz w:val="22"/>
                <w:szCs w:val="22"/>
              </w:rPr>
              <w:t xml:space="preserve">OVERALL THRESHOLD STATUS</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ADVANCE</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ADVANCE</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ADVANCE</w:t>
            </w:r>
          </w:p>
        </w:tc>
      </w:tr>
    </w:tbl>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Weighted Scoring Matrix</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Consensus scores below reflect the average of the three independent evaluators (Marquez, Chen, Sutton). No score had a spread greater than 1.0 between evaluators; no re-scoring was required.</w:t>
      </w:r>
    </w:p>
    <w:p>
      <w:pPr>
        <w:sectPr>
          <w:headerReference w:type="default" r:id="rId9"/>
          <w:footerReference w:type="default" r:id="rId10"/>
          <w:pgSz w:w="12240" w:h="15840" w:orient="portrait"/>
          <w:pgMar w:top="1080" w:right="1440" w:bottom="1296" w:left="1440" w:header="540" w:footer="540" w:gutter="0"/>
          <w:pgNumType/>
          <w:docGrid w:linePitch="360"/>
        </w:sectPr>
      </w:pPr>
    </w:p>
    <w:tbl>
      <w:tblPr>
        <w:tblW w:type="dxa" w:w="14040"/>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800"/>
        <w:gridCol w:w="2080"/>
        <w:gridCol w:w="2080"/>
        <w:gridCol w:w="2080"/>
        <w:gridCol w:w="3700"/>
      </w:tblGrid>
      <w:tr>
        <w:trPr>
          <w:tblHeader/>
        </w:trPr>
        <w:tc>
          <w:tcPr>
            <w:tcW w:type="dxa" w:w="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t>
            </w:r>
          </w:p>
        </w:tc>
        <w:tc>
          <w:tcPr>
            <w:tcW w:type="dxa" w:w="28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CRITERION</w:t>
            </w:r>
          </w:p>
        </w:tc>
        <w:tc>
          <w:tcPr>
            <w:tcW w:type="dxa" w:w="8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WEIGHT</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GREENLINE LANDSCAPE GROUP</w:t>
            </w:r>
          </w:p>
          <w:p>
            <w:pPr>
              <w:spacing w:after="0" w:before="0" w:line="300"/>
              <w:jc w:val="left"/>
            </w:pPr>
            <w:r>
              <w:rPr>
                <w:rFonts w:ascii="Lato" w:cs="Lato" w:eastAsia="Lato" w:hAnsi="Lato"/>
                <w:b/>
                <w:bCs/>
                <w:color w:val="FFFFFF"/>
                <w:sz w:val="16"/>
                <w:szCs w:val="16"/>
              </w:rPr>
              <w:t xml:space="preserve">SCORE / WT</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CYPRESS TURF &amp; CO.</w:t>
            </w:r>
          </w:p>
          <w:p>
            <w:pPr>
              <w:spacing w:after="0" w:before="0" w:line="300"/>
              <w:jc w:val="left"/>
            </w:pPr>
            <w:r>
              <w:rPr>
                <w:rFonts w:ascii="Lato" w:cs="Lato" w:eastAsia="Lato" w:hAnsi="Lato"/>
                <w:b/>
                <w:bCs/>
                <w:color w:val="FFFFFF"/>
                <w:sz w:val="16"/>
                <w:szCs w:val="16"/>
              </w:rPr>
              <w:t xml:space="preserve">SCORE / WT</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APEX LANDSCAPE SERVICES</w:t>
            </w:r>
          </w:p>
          <w:p>
            <w:pPr>
              <w:spacing w:after="0" w:before="0" w:line="300"/>
              <w:jc w:val="left"/>
            </w:pPr>
            <w:r>
              <w:rPr>
                <w:rFonts w:ascii="Lato" w:cs="Lato" w:eastAsia="Lato" w:hAnsi="Lato"/>
                <w:b/>
                <w:bCs/>
                <w:color w:val="FFFFFF"/>
                <w:sz w:val="16"/>
                <w:szCs w:val="16"/>
              </w:rPr>
              <w:t xml:space="preserve">SCORE / WT</w:t>
            </w:r>
          </w:p>
        </w:tc>
        <w:tc>
          <w:tcPr>
            <w:tcW w:type="dxa" w:w="37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GUIDANCE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1</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RFP Compliance &amp; Completeness</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0.50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All three submitted on time. Apex’s submission was the most thorough; GreenLine and Cypress Turf were complete but less detailed.</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2</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Company Experience &amp; Capacity</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Apex’s 118-employee crew and $24.6M revenue are clear standouts. GreenLine and Cypress Turf both have adequate capacity for the property.</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3</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Past Performance &amp; References</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0.45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GreenLine and Apex referenced multiple comparable Houston-area HOAs. Cypress Turf’s references were satisfactory but less directly comparable.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4</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Insurance &amp; Licensing</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0.50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All three meet Section 9 limits and hold current TDA pesticide applicator licenses. Apex carries higher umbrella ($5M).</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5</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Quality Approach &amp; Management Plan</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0.45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Apex submitted the strongest QA program (ISO 9001-aligned), named Account Manager and on-site Foreman. Cypress Turf’s plan was acceptable but generic.</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6</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Total 3-Year Cost</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25%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0.75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1.25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1  /  0.25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Cypress Turf $155,820 (3-yr); GreenLine $164,160; Apex $185,940. 5 = lowest.</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7</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As-Needed Rates &amp; Markup</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0.15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0.25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2  /  0.10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Cypress Turf labor $58/hr (lowest), markup 12%; GreenLine $68/hr, 15%; Apex $82/hr, 18%.</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8</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Local Presence &amp; Reputation</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0.25</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0.20</w:t>
            </w:r>
          </w:p>
        </w:tc>
        <w:tc>
          <w:tcPr>
            <w:tcW w:type="dxa" w:w="208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0.15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GreenLine has 7 years incumbency and strong neighborhood recognition. Cypress Turf is local. Apex is regional with limited Cypress-area presence.</w:t>
            </w:r>
          </w:p>
        </w:tc>
      </w:tr>
      <w:tr>
        <w:tc>
          <w:tcPr>
            <w:tcW w:type="dxa" w:w="4100"/>
            <w:tcBorders>
              <w:top w:val="single" w:color="173F35" w:sz="8"/>
              <w:left w:val="single" w:color="173F35" w:sz="8"/>
              <w:bottom w:val="single" w:color="173F35" w:sz="8"/>
              <w:right w:val="single" w:color="173F35" w:sz="4"/>
            </w:tcBorders>
            <w:shd w:fill="173F35" w:color="auto" w:val="clear"/>
            <w:tcMar>
              <w:top w:type="dxa" w:w="160"/>
              <w:left w:type="dxa" w:w="100"/>
              <w:bottom w:type="dxa" w:w="160"/>
              <w:right w:type="dxa" w:w="100"/>
            </w:tcMar>
          </w:tcPr>
          <w:p>
            <w:pPr>
              <w:spacing w:after="0" w:before="0" w:line="300"/>
              <w:jc w:val="left"/>
            </w:pPr>
            <w:r>
              <w:rPr>
                <w:rFonts w:ascii="Lato" w:cs="Lato" w:eastAsia="Lato" w:hAnsi="Lato"/>
                <w:b/>
                <w:bCs/>
                <w:color w:val="FFFFFF"/>
                <w:sz w:val="22"/>
                <w:szCs w:val="22"/>
              </w:rPr>
              <w:t xml:space="preserve">TOTAL COMPARISON SCORE  (max 5.00)</w:t>
            </w:r>
          </w:p>
        </w:tc>
        <w:tc>
          <w:tcPr>
            <w:tcW w:type="dxa" w:w="2080"/>
            <w:tcBorders>
              <w:top w:val="single" w:color="173F35" w:sz="8"/>
              <w:left w:val="single" w:color="C9A24A" w:sz="4"/>
              <w:bottom w:val="single" w:color="173F35" w:sz="8"/>
              <w:right w:val="single" w:color="C9A24A" w:sz="4"/>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3.75</w:t>
            </w:r>
          </w:p>
        </w:tc>
        <w:tc>
          <w:tcPr>
            <w:tcW w:type="dxa" w:w="2080"/>
            <w:tcBorders>
              <w:top w:val="single" w:color="173F35" w:sz="8"/>
              <w:left w:val="single" w:color="C9A24A" w:sz="4"/>
              <w:bottom w:val="single" w:color="173F35" w:sz="8"/>
              <w:right w:val="single" w:color="C9A24A" w:sz="4"/>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4.00</w:t>
            </w:r>
          </w:p>
        </w:tc>
        <w:tc>
          <w:tcPr>
            <w:tcW w:type="dxa" w:w="2080"/>
            <w:tcBorders>
              <w:top w:val="single" w:color="173F35" w:sz="8"/>
              <w:left w:val="single" w:color="C9A24A" w:sz="4"/>
              <w:bottom w:val="single" w:color="173F35" w:sz="8"/>
              <w:right w:val="single" w:color="C9A24A" w:sz="4"/>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3.60</w:t>
            </w:r>
          </w:p>
        </w:tc>
        <w:tc>
          <w:tcPr>
            <w:tcW w:type="dxa" w:w="3700"/>
            <w:tcBorders>
              <w:top w:val="single" w:color="173F35" w:sz="8"/>
              <w:left w:val="single" w:color="173F35" w:sz="4"/>
              <w:bottom w:val="single" w:color="173F35" w:sz="8"/>
              <w:right w:val="single" w:color="173F35" w:sz="8"/>
            </w:tcBorders>
            <w:shd w:fill="173F35" w:color="auto" w:val="clear"/>
            <w:tcMar>
              <w:top w:type="dxa" w:w="160"/>
              <w:left w:type="dxa" w:w="100"/>
              <w:bottom w:type="dxa" w:w="160"/>
              <w:right w:type="dxa" w:w="100"/>
            </w:tcMar>
          </w:tcPr>
          <w:p>
            <w:pPr>
              <w:spacing w:after="0" w:before="0" w:line="300"/>
              <w:jc w:val="left"/>
            </w:pPr>
            <w:r>
              <w:rPr>
                <w:rFonts w:ascii="Lato" w:cs="Lato" w:eastAsia="Lato" w:hAnsi="Lato"/>
                <w:i/>
                <w:iCs/>
                <w:color w:val="FFFFFF"/>
                <w:sz w:val="18"/>
                <w:szCs w:val="18"/>
              </w:rPr>
              <w:t xml:space="preserve">Σ (score × weight)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RESULT</w:t>
            </w:r>
          </w:p>
          <w:p>
            <w:pPr>
              <w:spacing w:after="0" w:before="0" w:line="300"/>
              <w:jc w:val="left"/>
            </w:pPr>
            <w:r>
              <w:rPr>
                <w:rFonts w:ascii="Lato" w:cs="Lato" w:eastAsia="Lato" w:hAnsi="Lato"/>
                <w:b/>
                <w:bCs/>
                <w:color w:val="173F35"/>
                <w:sz w:val="22"/>
                <w:szCs w:val="22"/>
              </w:rPr>
              <w:t xml:space="preserve">Cypress Turf &amp; Co. — 4.00  •  GreenLine Landscape Group — 3.75  •  Apex Landscape Services — 3.60</w:t>
            </w:r>
          </w:p>
        </w:tc>
      </w:tr>
    </w:tbl>
    <w:p>
      <w:pPr>
        <w:sectPr>
          <w:headerReference w:type="default" r:id="rId11"/>
          <w:footerReference w:type="default" r:id="rId12"/>
          <w:pgSz w:w="15840" w:h="12240" w:orient="landscape"/>
          <w:pgMar w:top="900" w:right="900" w:bottom="1080" w:left="900" w:header="540" w:footer="540" w:gutter="0"/>
          <w:pgNumType/>
          <w:docGrid w:linePitch="360"/>
        </w:sectPr>
      </w:pP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Pricing Comparison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Pricing pulled from each bidder’s Bid Sheet (Section 11 of the RFP). All amounts inclusive of state and local sales tax. 3-year totals reflect the bidders’ stated annual escalators.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LINE ITEM</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GREENLINE LANDSCAPE GROUP</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CYPRESS TURF &amp; CO.</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APEX LANDSCAPE SERVICES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Monthly</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$4,500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$4,200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$5,100</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1</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$54,000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$50,400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$61,200</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2 (3% escalator)</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$55,620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$51,912</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$63,036</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3 (3% escalator)</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$57,289</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$53,469</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$64,927</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Add-on — Annual Tree Pruning &gt; 8'</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incl.</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incl.</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incl.</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As-Needed Labor Rate (per hour)</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$68</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$58</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$82</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As-Needed Irrigation Rate (per hour)</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$85</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$72</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$95</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Materials / Pass-Through Markup</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15%</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12%</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18%</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Mobilization Fee (one-time)</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TOTAL 3-YEAR COST</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$166,909</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$155,781</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$189,163</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APPLES-TO-APPLES CONFIRMED</w:t>
            </w:r>
          </w:p>
          <w:p>
            <w:pPr>
              <w:spacing w:after="0" w:before="0" w:line="300"/>
              <w:jc w:val="left"/>
            </w:pPr>
            <w:r>
              <w:rPr>
                <w:rFonts w:ascii="Lato" w:cs="Lato" w:eastAsia="Lato" w:hAnsi="Lato"/>
                <w:color w:val="1A1A1A"/>
                <w:sz w:val="22"/>
                <w:szCs w:val="22"/>
              </w:rPr>
              <w:t xml:space="preserve">All three bidders priced the identical scope (Section 3.2 of the RFP). Annual color rotations, mulch refresh, and IPM program are included in the base monthly fee for all three. As-needed and add-on items are priced consistently.</w:t>
            </w:r>
          </w:p>
        </w:tc>
      </w:tr>
    </w:tbl>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Tie-Breaker Procedure</w:t>
      </w:r>
    </w:p>
    <w:p>
      <w:pPr>
        <w:pBdr>
          <w:bottom w:val="single" w:color="C9A24A" w:sz="8" w:space="1"/>
        </w:pBdr>
        <w:spacing w:after="120" w:before="80"/>
      </w:pPr>
      <w:r>
        <w:t xml:space="preserve"/>
      </w:r>
    </w:p>
    <w:p>
      <w:pPr>
        <w:spacing w:after="100" w:before="0" w:line="320"/>
        <w:jc w:val="left"/>
      </w:pPr>
      <w:r>
        <w:rPr>
          <w:rFonts w:ascii="Lato" w:cs="Lato" w:eastAsia="Lato" w:hAnsi="Lato"/>
          <w:color w:val="1A1A1A"/>
          <w:sz w:val="22"/>
          <w:szCs w:val="22"/>
        </w:rPr>
        <w:t xml:space="preserve">Tie-breaker not invoked.</w:t>
      </w:r>
    </w:p>
    <w:p>
      <w:pPr>
        <w:pStyle w:val="ListParagraph"/>
        <w:numPr>
          <w:ilvl w:val="0"/>
          <w:numId w:val="2"/>
        </w:numPr>
        <w:spacing w:after="60" w:before="40" w:line="290"/>
      </w:pPr>
      <w:r>
        <w:rPr>
          <w:rFonts w:ascii="Lato" w:cs="Lato" w:eastAsia="Lato" w:hAnsi="Lato"/>
          <w:b/>
          <w:bCs/>
          <w:color w:val="173F35"/>
          <w:sz w:val="22"/>
          <w:szCs w:val="22"/>
        </w:rPr>
        <w:t xml:space="preserve">Top score (Cypress Turf &amp; Co., 4.00) </w:t>
      </w:r>
      <w:r>
        <w:rPr>
          <w:rFonts w:ascii="Lato" w:cs="Lato" w:eastAsia="Lato" w:hAnsi="Lato"/>
          <w:color w:val="1A1A1A"/>
          <w:sz w:val="22"/>
          <w:szCs w:val="22"/>
        </w:rPr>
        <w:t xml:space="preserve">leads second-place GreenLine (3.75) by 0.25 points — outside the 0.20 tie-breaker band.</w:t>
      </w:r>
    </w:p>
    <w:p>
      <w:pPr>
        <w:pStyle w:val="ListParagraph"/>
        <w:numPr>
          <w:ilvl w:val="0"/>
          <w:numId w:val="2"/>
        </w:numPr>
        <w:spacing w:after="60" w:before="40" w:line="290"/>
      </w:pPr>
      <w:r>
        <w:rPr>
          <w:rFonts w:ascii="Lato" w:cs="Lato" w:eastAsia="Lato" w:hAnsi="Lato"/>
          <w:b/>
          <w:bCs/>
          <w:color w:val="173F35"/>
          <w:sz w:val="22"/>
          <w:szCs w:val="22"/>
        </w:rPr>
        <w:t xml:space="preserve">Pricing differential </w:t>
      </w:r>
      <w:r>
        <w:rPr>
          <w:rFonts w:ascii="Lato" w:cs="Lato" w:eastAsia="Lato" w:hAnsi="Lato"/>
          <w:color w:val="1A1A1A"/>
          <w:sz w:val="22"/>
          <w:szCs w:val="22"/>
        </w:rPr>
        <w:t xml:space="preserve">between Cypress Turf and GreenLine is $11,128 (≈ 7% of GreenLine’s 3-year cost) — outside the 2% tie-breaker band.</w:t>
      </w:r>
    </w:p>
    <w:p>
      <w:pPr>
        <w:pStyle w:val="ListParagraph"/>
        <w:numPr>
          <w:ilvl w:val="0"/>
          <w:numId w:val="2"/>
        </w:numPr>
        <w:spacing w:after="60" w:before="40" w:line="290"/>
      </w:pPr>
      <w:r>
        <w:rPr>
          <w:rFonts w:ascii="Lato" w:cs="Lato" w:eastAsia="Lato" w:hAnsi="Lato"/>
          <w:b/>
          <w:bCs/>
          <w:color w:val="173F35"/>
          <w:sz w:val="22"/>
          <w:szCs w:val="22"/>
        </w:rPr>
        <w:t xml:space="preserve">Conclusion: </w:t>
      </w:r>
      <w:r>
        <w:rPr>
          <w:rFonts w:ascii="Lato" w:cs="Lato" w:eastAsia="Lato" w:hAnsi="Lato"/>
          <w:color w:val="1A1A1A"/>
          <w:sz w:val="22"/>
          <w:szCs w:val="22"/>
        </w:rPr>
        <w:t xml:space="preserve">the lowest-priced, technically acceptable rule applies cleanly. Award recommendation: Cypress Turf &amp; Co.</w:t>
      </w:r>
    </w:p>
    <w:p>
      <w:r>
        <w:br w:type="page"/>
      </w:r>
    </w:p>
    <w:p>
      <w:pPr>
        <w:spacing w:after="60" w:before="0"/>
      </w:pPr>
      <w:r>
        <w:rPr>
          <w:rFonts w:ascii="Lato" w:cs="Lato" w:eastAsia="Lato" w:hAnsi="Lato"/>
          <w:b/>
          <w:bCs/>
          <w:color w:val="C9A24A"/>
          <w:spacing w:val="100"/>
          <w:sz w:val="16"/>
          <w:szCs w:val="16"/>
        </w:rPr>
        <w:t xml:space="preserve">SECTION 8</w:t>
      </w:r>
    </w:p>
    <w:p>
      <w:pPr>
        <w:pStyle w:val="Heading1"/>
        <w:spacing w:after="160" w:before="280"/>
      </w:pPr>
      <w:r>
        <w:rPr>
          <w:rFonts w:ascii="Garamond" w:cs="Garamond" w:eastAsia="Garamond" w:hAnsi="Garamond"/>
          <w:b/>
          <w:bCs/>
          <w:color w:val="173F35"/>
          <w:sz w:val="40"/>
          <w:szCs w:val="40"/>
        </w:rPr>
        <w:t xml:space="preserve">Conflicts of Interest in Evaluation</w:t>
      </w:r>
    </w:p>
    <w:p>
      <w:pPr>
        <w:pBdr>
          <w:bottom w:val="single" w:color="C9A24A" w:sz="8" w:space="1"/>
        </w:pBdr>
        <w:spacing w:after="120" w:before="80"/>
      </w:pPr>
      <w:r>
        <w:t xml:space="preserve"/>
      </w:r>
    </w:p>
    <w:p>
      <w:pPr>
        <w:spacing w:after="0" w:before="0" w:line="320"/>
        <w:jc w:val="left"/>
      </w:pPr>
      <w:r>
        <w:rPr>
          <w:rFonts w:ascii="Lato" w:cs="Lato" w:eastAsia="Lato" w:hAnsi="Lato"/>
          <w:color w:val="1A1A1A"/>
          <w:sz w:val="22"/>
          <w:szCs w:val="22"/>
        </w:rPr>
        <w:t xml:space="preserve">No conflicts of interest were disclosed by any evaluator with respect to any of the three bidders. Tex. Bus. Orgs. Code § 22.230 procedures are not implicated. Article 3 of the Cypress Ridge Code of Ethics was followed; no recusals required.</w:t>
      </w:r>
    </w:p>
    <w:p>
      <w:r>
        <w:br w:type="page"/>
      </w:r>
    </w:p>
    <w:p>
      <w:pPr>
        <w:spacing w:after="60" w:before="0"/>
      </w:pPr>
      <w:r>
        <w:rPr>
          <w:rFonts w:ascii="Lato" w:cs="Lato" w:eastAsia="Lato" w:hAnsi="Lato"/>
          <w:b/>
          <w:bCs/>
          <w:color w:val="C9A24A"/>
          <w:spacing w:val="100"/>
          <w:sz w:val="16"/>
          <w:szCs w:val="16"/>
        </w:rPr>
        <w:t xml:space="preserve">SECTION 9</w:t>
      </w:r>
    </w:p>
    <w:p>
      <w:pPr>
        <w:pStyle w:val="Heading1"/>
        <w:spacing w:after="160" w:before="280"/>
      </w:pPr>
      <w:r>
        <w:rPr>
          <w:rFonts w:ascii="Garamond" w:cs="Garamond" w:eastAsia="Garamond" w:hAnsi="Garamond"/>
          <w:b/>
          <w:bCs/>
          <w:color w:val="173F35"/>
          <w:sz w:val="40"/>
          <w:szCs w:val="40"/>
        </w:rPr>
        <w:t xml:space="preserve">Award Recommendation Memo</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MEMO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Board of Directors, Cypress Ridge Community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FROM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Committee (Marquez, Chen, Sutton)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16,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Award Recommendation — Landscape &amp; Grounds Maintenance — RFP # 2026-08-LANDSCAPE</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Findings</w:t>
      </w:r>
    </w:p>
    <w:p>
      <w:pPr>
        <w:spacing w:after="100" w:before="0" w:line="300"/>
        <w:jc w:val="left"/>
      </w:pPr>
      <w:r>
        <w:rPr>
          <w:rFonts w:ascii="Lato" w:cs="Lato" w:eastAsia="Lato" w:hAnsi="Lato"/>
          <w:color w:val="1A1A1A"/>
          <w:sz w:val="22"/>
          <w:szCs w:val="22"/>
        </w:rPr>
        <w:t xml:space="preserve">Three (3) proposals were received in response to RFP # 2026-08-LANDSCAPE on or before the September 29, 2026 deadline:</w:t>
      </w:r>
    </w:p>
    <w:p>
      <w:pPr>
        <w:pStyle w:val="ListParagraph"/>
        <w:numPr>
          <w:ilvl w:val="0"/>
          <w:numId w:val="2"/>
        </w:numPr>
        <w:spacing w:after="60" w:before="40" w:line="290"/>
      </w:pPr>
      <w:r>
        <w:rPr>
          <w:rFonts w:ascii="Lato" w:cs="Lato" w:eastAsia="Lato" w:hAnsi="Lato"/>
          <w:color w:val="1A1A1A"/>
          <w:sz w:val="22"/>
          <w:szCs w:val="22"/>
        </w:rPr>
        <w:t xml:space="preserve">GreenLine Landscape Group — Total 3-Year Cost: $166,909 — Total Comparison Score: 3.75</w:t>
      </w:r>
    </w:p>
    <w:p>
      <w:pPr>
        <w:pStyle w:val="ListParagraph"/>
        <w:numPr>
          <w:ilvl w:val="0"/>
          <w:numId w:val="2"/>
        </w:numPr>
        <w:spacing w:after="60" w:before="40" w:line="290"/>
      </w:pPr>
      <w:r>
        <w:rPr>
          <w:rFonts w:ascii="Lato" w:cs="Lato" w:eastAsia="Lato" w:hAnsi="Lato"/>
          <w:color w:val="1A1A1A"/>
          <w:sz w:val="22"/>
          <w:szCs w:val="22"/>
        </w:rPr>
        <w:t xml:space="preserve">Cypress Turf &amp; Co. — Total 3-Year Cost: $155,781 — Total Comparison Score: 4.00</w:t>
      </w:r>
    </w:p>
    <w:p>
      <w:pPr>
        <w:pStyle w:val="ListParagraph"/>
        <w:numPr>
          <w:ilvl w:val="0"/>
          <w:numId w:val="2"/>
        </w:numPr>
        <w:spacing w:after="60" w:before="40" w:line="290"/>
      </w:pPr>
      <w:r>
        <w:rPr>
          <w:rFonts w:ascii="Lato" w:cs="Lato" w:eastAsia="Lato" w:hAnsi="Lato"/>
          <w:color w:val="1A1A1A"/>
          <w:sz w:val="22"/>
          <w:szCs w:val="22"/>
        </w:rPr>
        <w:t xml:space="preserve">Apex Landscape Services — Total 3-Year Cost: $189,163 — Total Comparison Score: 3.60</w:t>
      </w:r>
    </w:p>
    <w:p>
      <w:pPr>
        <w:spacing w:after="100" w:before="0" w:line="320"/>
        <w:jc w:val="left"/>
      </w:pPr>
      <w:r>
        <w:rPr>
          <w:rFonts w:ascii="Lato" w:cs="Lato" w:eastAsia="Lato" w:hAnsi="Lato"/>
          <w:color w:val="1A1A1A"/>
          <w:sz w:val="22"/>
          <w:szCs w:val="22"/>
        </w:rPr>
        <w:t xml:space="preserve">All three bidders advanced past the threshold filter (Section 4 of this worksheet). No threshold disqualifications.</w:t>
      </w:r>
    </w:p>
    <w:p>
      <w:pPr>
        <w:spacing w:after="200" w:before="0" w:line="320"/>
        <w:jc w:val="left"/>
      </w:pPr>
      <w:r>
        <w:rPr>
          <w:rFonts w:ascii="Lato" w:cs="Lato" w:eastAsia="Lato" w:hAnsi="Lato"/>
          <w:color w:val="1A1A1A"/>
          <w:sz w:val="22"/>
          <w:szCs w:val="22"/>
        </w:rPr>
        <w:t xml:space="preserve">No conflicts of interest were disclosed. Tex. Bus. Orgs. Code § 22.230 procedures are not implicated.</w:t>
      </w:r>
    </w:p>
    <w:p>
      <w:pPr>
        <w:pStyle w:val="Heading3"/>
        <w:spacing w:after="160" w:before="280"/>
      </w:pPr>
      <w:r>
        <w:rPr>
          <w:rFonts w:ascii="Garamond" w:cs="Garamond" w:eastAsia="Garamond" w:hAnsi="Garamond"/>
          <w:b/>
          <w:bCs/>
          <w:color w:val="173F35"/>
          <w:sz w:val="26"/>
          <w:szCs w:val="26"/>
        </w:rPr>
        <w:t xml:space="preserve">Recommendation</w:t>
      </w:r>
    </w:p>
    <w:p>
      <w:pPr>
        <w:spacing w:after="100" w:before="0" w:line="320"/>
        <w:jc w:val="left"/>
      </w:pPr>
      <w:r>
        <w:rPr>
          <w:rFonts w:ascii="Lato" w:cs="Lato" w:eastAsia="Lato" w:hAnsi="Lato"/>
          <w:color w:val="1A1A1A"/>
          <w:sz w:val="22"/>
          <w:szCs w:val="22"/>
        </w:rPr>
        <w:t xml:space="preserve">The Evaluation Committee recommends award to Cypress Turf &amp; Co. at a Total 3-Year Cost of $155,781, for the following reasons:</w:t>
      </w:r>
    </w:p>
    <w:p>
      <w:pPr>
        <w:pStyle w:val="ListParagraph"/>
        <w:numPr>
          <w:ilvl w:val="0"/>
          <w:numId w:val="2"/>
        </w:numPr>
        <w:spacing w:after="60" w:before="40" w:line="290"/>
      </w:pPr>
      <w:r>
        <w:rPr>
          <w:rFonts w:ascii="Lato" w:cs="Lato" w:eastAsia="Lato" w:hAnsi="Lato"/>
          <w:color w:val="1A1A1A"/>
          <w:sz w:val="22"/>
          <w:szCs w:val="22"/>
        </w:rPr>
        <w:t xml:space="preserve">Cypress Turf is the lowest-priced, technically acceptable bidder. Its proposal advanced past every threshold criterion, scored 4.00 on the weighted matrix (highest of the three), and is approximately $11,128 (≈ 7%) less than the next-lowest bidder over a three-year period.</w:t>
      </w:r>
    </w:p>
    <w:p>
      <w:pPr>
        <w:pStyle w:val="ListParagraph"/>
        <w:numPr>
          <w:ilvl w:val="0"/>
          <w:numId w:val="2"/>
        </w:numPr>
        <w:spacing w:after="60" w:before="40" w:line="290"/>
      </w:pPr>
      <w:r>
        <w:rPr>
          <w:rFonts w:ascii="Lato" w:cs="Lato" w:eastAsia="Lato" w:hAnsi="Lato"/>
          <w:color w:val="1A1A1A"/>
          <w:sz w:val="22"/>
          <w:szCs w:val="22"/>
        </w:rPr>
        <w:t xml:space="preserve">Tie-breaker not invoked: the score lead (0.25) and pricing lead (≈ 7%) both exceed the worksheet’s tie-breaker bands.</w:t>
      </w:r>
    </w:p>
    <w:p>
      <w:pPr>
        <w:pStyle w:val="ListParagraph"/>
        <w:numPr>
          <w:ilvl w:val="0"/>
          <w:numId w:val="2"/>
        </w:numPr>
        <w:spacing w:after="60" w:before="40" w:line="290"/>
      </w:pPr>
      <w:r>
        <w:rPr>
          <w:rFonts w:ascii="Lato" w:cs="Lato" w:eastAsia="Lato" w:hAnsi="Lato"/>
          <w:color w:val="1A1A1A"/>
          <w:sz w:val="22"/>
          <w:szCs w:val="22"/>
        </w:rPr>
        <w:t xml:space="preserve">All three bidders priced an identical scope; pricing comparison is apples-to-apples.</w:t>
      </w:r>
    </w:p>
    <w:p>
      <w:pPr>
        <w:pStyle w:val="ListParagraph"/>
        <w:numPr>
          <w:ilvl w:val="0"/>
          <w:numId w:val="2"/>
        </w:numPr>
        <w:spacing w:after="60" w:before="40" w:line="290"/>
      </w:pPr>
      <w:r>
        <w:rPr>
          <w:rFonts w:ascii="Lato" w:cs="Lato" w:eastAsia="Lato" w:hAnsi="Lato"/>
          <w:color w:val="1A1A1A"/>
          <w:sz w:val="22"/>
          <w:szCs w:val="22"/>
        </w:rPr>
        <w:t xml:space="preserve">Cypress Turf’s management plan, while not the strongest of the three, fully meets the Statement of Work requirements; quality risk is acceptable given the price advantage and the Association’s ongoing oversight under the contract’s monthly reporting and quarterly walk-through requirements.</w:t>
      </w:r>
    </w:p>
    <w:p>
      <w:pPr>
        <w:pStyle w:val="Heading3"/>
        <w:spacing w:after="160" w:before="280"/>
      </w:pPr>
      <w:r>
        <w:rPr>
          <w:rFonts w:ascii="Garamond" w:cs="Garamond" w:eastAsia="Garamond" w:hAnsi="Garamond"/>
          <w:b/>
          <w:bCs/>
          <w:color w:val="173F35"/>
          <w:sz w:val="26"/>
          <w:szCs w:val="26"/>
        </w:rPr>
        <w:t xml:space="preserve">Proposed Resolution</w:t>
      </w:r>
    </w:p>
    <w:p>
      <w:pPr>
        <w:spacing w:after="200" w:before="0" w:line="320"/>
        <w:jc w:val="left"/>
      </w:pPr>
      <w:r>
        <w:rPr>
          <w:rFonts w:ascii="Lato" w:cs="Lato" w:eastAsia="Lato" w:hAnsi="Lato"/>
          <w:color w:val="1A1A1A"/>
          <w:sz w:val="22"/>
          <w:szCs w:val="22"/>
        </w:rPr>
        <w:t xml:space="preserve">RESOLVED, that the Board of Directors of Cypress Ridge Community Association hereby awards the Landscape &amp; Grounds Maintenance contract to Cypress Turf &amp; Co. for a 12-month period beginning January 1, 2027, with two (2) one-year renewal options at the Association’s sole discretion, at the prices stated in Cypress Turf &amp; Co.’s Bid Sheet dated September 28, 2026, on the terms substantially as set forth in RFP # 2026-08-LANDSCAPE, subject to negotiation and execution of a written services agreement by the Board President on or before December 1, 2026.</w:t>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Evaluator / Chair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Manager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13"/>
      <w:footerReference w:type="default" r:id="rId14"/>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Comparative Evaluation  •  Landscape  •  Texas</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Score Matrix  •  Sample Comparative Evaluation  •  Landscape (TX)</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Comparative Evaluation  •  Landscape  •  Texas</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Landscape (TX)</w:t>
    </w:r>
  </w:p>
  <w:p>
    <w:pPr>
      <w:pBdr>
        <w:bottom w:val="single" w:color="C9A24A" w:sz="6" w:space="1"/>
      </w:pBdr>
      <w:spacing w:after="0" w:before="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Landscape (TX)  /  Score Matrix</w:t>
    </w:r>
  </w:p>
  <w:p>
    <w:pPr>
      <w:pBdr>
        <w:bottom w:val="single" w:color="C9A24A" w:sz="6" w:space="1"/>
      </w:pBdr>
      <w:spacing w:after="0" w:before="60"/>
    </w:pPr>
    <w:r>
      <w:t xml:space="preserv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Landscape (TX)</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Comparative Evaluation — Landscape (Texas)</dc:title>
  <dc:creator>Common Interest Community Standards Council (CIC-SC)</dc:creator>
  <dc:description>CIC-SC standalone draft (illustrative).</dc:description>
  <cp:lastModifiedBy>Un-named</cp:lastModifiedBy>
  <cp:revision>1</cp:revision>
  <dcterms:created xsi:type="dcterms:W3CDTF">2026-05-10T21:41:26.749Z</dcterms:created>
  <dcterms:modified xsi:type="dcterms:W3CDTF">2026-05-10T21:41:26.749Z</dcterms:modified>
</cp:coreProperties>
</file>

<file path=docProps/custom.xml><?xml version="1.0" encoding="utf-8"?>
<Properties xmlns="http://schemas.openxmlformats.org/officeDocument/2006/custom-properties" xmlns:vt="http://schemas.openxmlformats.org/officeDocument/2006/docPropsVTypes"/>
</file>