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Sample Ballot  /  Standalone Draft / Special Assessment</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Special Assessment</w:t>
      </w:r>
    </w:p>
    <w:p>
      <w:pPr>
        <w:spacing w:after="240" w:before="0"/>
        <w:jc w:val="left"/>
      </w:pPr>
      <w:r>
        <w:rPr>
          <w:rFonts w:ascii="Garamond" w:cs="Garamond" w:eastAsia="Garamond" w:hAnsi="Garamond"/>
          <w:i/>
          <w:iCs/>
          <w:color w:val="173F35"/>
          <w:sz w:val="60"/>
          <w:szCs w:val="60"/>
        </w:rPr>
        <w:t xml:space="preserve">Vote</w:t>
      </w:r>
    </w:p>
    <w:p>
      <w:pPr>
        <w:spacing w:after="1200" w:before="80"/>
        <w:jc w:val="left"/>
      </w:pPr>
      <w:r>
        <w:rPr>
          <w:rFonts w:ascii="Lato" w:cs="Lato" w:eastAsia="Lato" w:hAnsi="Lato"/>
          <w:color w:val="1A1A1A"/>
          <w:sz w:val="24"/>
          <w:szCs w:val="24"/>
        </w:rPr>
        <w:t xml:space="preserve">Sample ballot for a $1,250 per-unit special assessment at Tarpon Bay Condominium Association, Inc. to fund a capital reserve project (building envelope inspection and remediation). Fla. Stat. §§ 718.112(2)(d), 718.116 disclosures included.</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Standalone Draft  •  Florida Sample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Condominium Owners  •  Boards  •  Association Managers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Annual Meeting Ballot Template  •  Educational Guide  •  Sample Director Election Ballot (TX)</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THIS IS A FULLY POPULATED EXAMPLE</w:t>
            </w:r>
          </w:p>
          <w:p>
            <w:pPr>
              <w:spacing w:after="0" w:before="0" w:line="300"/>
              <w:jc w:val="left"/>
            </w:pPr>
            <w:r>
              <w:rPr>
                <w:rFonts w:ascii="Lato" w:cs="Lato" w:eastAsia="Lato" w:hAnsi="Lato"/>
                <w:color w:val="1A1A1A"/>
                <w:sz w:val="22"/>
                <w:szCs w:val="22"/>
              </w:rPr>
              <w:t xml:space="preserve">The dollar amounts, dates, project description, and unit count are illustrative. Replace with your association’s information before issuance. The structure, two-envelope system, and Fla. Stat. §§ 718.112(2)(d) / 718.116 disclosures reflect CIC-SC best practice for a Florida condominium special-assessment vote.</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FLORIDA § 718.116 REMINDER</w:t>
            </w:r>
          </w:p>
          <w:p>
            <w:pPr>
              <w:spacing w:after="0" w:before="0" w:line="300"/>
              <w:jc w:val="left"/>
            </w:pPr>
            <w:r>
              <w:rPr>
                <w:rFonts w:ascii="Lato" w:cs="Lato" w:eastAsia="Lato" w:hAnsi="Lato"/>
                <w:color w:val="1A1A1A"/>
                <w:sz w:val="22"/>
                <w:szCs w:val="22"/>
              </w:rPr>
              <w:t xml:space="preserve">Florida law requires specific disclosures for assessments, including unit-owner liability and the consequences of nonpayment (lien recordation, foreclosure, attorneys’ fees recovery). Confirm current effective text with counsel before issuance.</w:t>
            </w:r>
          </w:p>
        </w:tc>
      </w:tr>
    </w:tbl>
    <w:p>
      <w:pPr>
        <w:spacing w:after="8" w:before="8"/>
      </w:pPr>
      <w:r>
        <w:rPr>
          <w:sz w:val="2"/>
          <w:szCs w:val="2"/>
        </w:rPr>
        <w:t xml:space="preserve"/>
      </w:r>
    </w:p>
    <w:p>
      <w:r>
        <w:br w:type="page"/>
      </w:r>
    </w:p>
    <w:p>
      <w:pPr>
        <w:spacing w:after="60" w:before="0"/>
      </w:pPr>
      <w:r>
        <w:rPr>
          <w:rFonts w:ascii="Lato" w:cs="Lato" w:eastAsia="Lato" w:hAnsi="Lato"/>
          <w:b/>
          <w:bCs/>
          <w:color w:val="C9A24A"/>
          <w:spacing w:val="100"/>
          <w:sz w:val="16"/>
          <w:szCs w:val="16"/>
        </w:rPr>
        <w:t xml:space="preserve">SECTION 1</w:t>
      </w:r>
    </w:p>
    <w:p>
      <w:pPr>
        <w:pStyle w:val="Heading1"/>
        <w:spacing w:after="160" w:before="280"/>
      </w:pPr>
      <w:r>
        <w:rPr>
          <w:rFonts w:ascii="Garamond" w:cs="Garamond" w:eastAsia="Garamond" w:hAnsi="Garamond"/>
          <w:b/>
          <w:bCs/>
          <w:color w:val="173F35"/>
          <w:sz w:val="40"/>
          <w:szCs w:val="40"/>
        </w:rPr>
        <w:t xml:space="preserve">Vote Information</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Issuing 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Tarpon Bay Condominium Association, Inc.</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Type of 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Condominium — Florida Statutes Chapter 718</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Type of Matter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Special Assessment Vote — Capital Reserve Project (Building Envelope Inspection and Remediation)</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Total Assessment Amount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$105,000.00 (84 units × $1,250.00 per unit)</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Per-Unit Assessment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$1,250.00, payable in two installments: $625 on July 1, 2027 and $625 on October 1, 2027</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Meeting Date / Time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Saturday, May 22, 2027  •  10:00 AM</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Meeting Location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Tarpon Bay Clubhouse, 1820 Tarpon Bay Drive, Naples, Florida 34104</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Ballot Return Deadline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Friday, May 21, 2027  •  5:00 PM Local Time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Quorum Required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50% of total unit owners (Bylaws Art. II § 5)</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Approval Threshold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Majority of total voting interests (Fla. Stat. § 718.112(2)(d); Declaration § 9.4)</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Inspector of Election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Coastal Compliance LLC (independent third party)</w:t>
            </w:r>
          </w:p>
        </w:tc>
      </w:tr>
    </w:tbl>
    <w:p>
      <w:r>
        <w:br w:type="page"/>
      </w:r>
    </w:p>
    <w:p>
      <w:pPr>
        <w:spacing w:after="60" w:before="0"/>
      </w:pPr>
      <w:r>
        <w:rPr>
          <w:rFonts w:ascii="Lato" w:cs="Lato" w:eastAsia="Lato" w:hAnsi="Lato"/>
          <w:b/>
          <w:bCs/>
          <w:color w:val="C9A24A"/>
          <w:spacing w:val="100"/>
          <w:sz w:val="16"/>
          <w:szCs w:val="16"/>
        </w:rPr>
        <w:t xml:space="preserve">SECTION 2</w:t>
      </w:r>
    </w:p>
    <w:p>
      <w:pPr>
        <w:pStyle w:val="Heading1"/>
        <w:spacing w:after="160" w:before="280"/>
      </w:pPr>
      <w:r>
        <w:rPr>
          <w:rFonts w:ascii="Garamond" w:cs="Garamond" w:eastAsia="Garamond" w:hAnsi="Garamond"/>
          <w:b/>
          <w:bCs/>
          <w:color w:val="173F35"/>
          <w:sz w:val="40"/>
          <w:szCs w:val="40"/>
        </w:rPr>
        <w:t xml:space="preserve">Background — Why This Special Assessment</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On March 18, 2027, the Board of Directors authorized a comprehensive Building Envelope Inspection and Remediation Project based on the findings of the February 2027 Engineer’s Report by Coastal Structural Consultants and the 2026 Milestone Inspection performed under Fla. Stat. § 553.899.</w:t>
      </w:r>
    </w:p>
    <w:p>
      <w:pPr>
        <w:pStyle w:val="Heading3"/>
        <w:spacing w:after="160" w:before="280"/>
      </w:pPr>
      <w:r>
        <w:rPr>
          <w:rFonts w:ascii="Garamond" w:cs="Garamond" w:eastAsia="Garamond" w:hAnsi="Garamond"/>
          <w:b/>
          <w:bCs/>
          <w:color w:val="173F35"/>
          <w:sz w:val="26"/>
          <w:szCs w:val="26"/>
        </w:rPr>
        <w:t xml:space="preserve">2.1  Scope of the Project</w:t>
      </w:r>
    </w:p>
    <w:p>
      <w:pPr>
        <w:pStyle w:val="ListParagraph"/>
        <w:numPr>
          <w:ilvl w:val="0"/>
          <w:numId w:val="2"/>
        </w:numPr>
        <w:spacing w:after="60" w:before="40" w:line="290"/>
      </w:pPr>
      <w:r>
        <w:rPr>
          <w:rFonts w:ascii="Lato" w:cs="Lato" w:eastAsia="Lato" w:hAnsi="Lato"/>
          <w:color w:val="1A1A1A"/>
          <w:sz w:val="22"/>
          <w:szCs w:val="22"/>
        </w:rPr>
        <w:t xml:space="preserve">Comprehensive building envelope inspection of both five-story buildings.</w:t>
      </w:r>
    </w:p>
    <w:p>
      <w:pPr>
        <w:pStyle w:val="ListParagraph"/>
        <w:numPr>
          <w:ilvl w:val="0"/>
          <w:numId w:val="2"/>
        </w:numPr>
        <w:spacing w:after="60" w:before="40" w:line="290"/>
      </w:pPr>
      <w:r>
        <w:rPr>
          <w:rFonts w:ascii="Lato" w:cs="Lato" w:eastAsia="Lato" w:hAnsi="Lato"/>
          <w:color w:val="1A1A1A"/>
          <w:sz w:val="22"/>
          <w:szCs w:val="22"/>
        </w:rPr>
        <w:t xml:space="preserve">Window and door perimeter reseal at all 168 units.</w:t>
      </w:r>
    </w:p>
    <w:p>
      <w:pPr>
        <w:pStyle w:val="ListParagraph"/>
        <w:numPr>
          <w:ilvl w:val="0"/>
          <w:numId w:val="2"/>
        </w:numPr>
        <w:spacing w:after="60" w:before="40" w:line="290"/>
      </w:pPr>
      <w:r>
        <w:rPr>
          <w:rFonts w:ascii="Lato" w:cs="Lato" w:eastAsia="Lato" w:hAnsi="Lato"/>
          <w:color w:val="1A1A1A"/>
          <w:sz w:val="22"/>
          <w:szCs w:val="22"/>
        </w:rPr>
        <w:t xml:space="preserve">Stucco repair at identified deteriorated areas (approximately 4,200 sq. ft.).</w:t>
      </w:r>
    </w:p>
    <w:p>
      <w:pPr>
        <w:pStyle w:val="ListParagraph"/>
        <w:numPr>
          <w:ilvl w:val="0"/>
          <w:numId w:val="2"/>
        </w:numPr>
        <w:spacing w:after="60" w:before="40" w:line="290"/>
      </w:pPr>
      <w:r>
        <w:rPr>
          <w:rFonts w:ascii="Lato" w:cs="Lato" w:eastAsia="Lato" w:hAnsi="Lato"/>
          <w:color w:val="1A1A1A"/>
          <w:sz w:val="22"/>
          <w:szCs w:val="22"/>
        </w:rPr>
        <w:t xml:space="preserve">Roof and parapet flashing remediation at identified weak points.</w:t>
      </w:r>
    </w:p>
    <w:p>
      <w:pPr>
        <w:pStyle w:val="ListParagraph"/>
        <w:numPr>
          <w:ilvl w:val="0"/>
          <w:numId w:val="2"/>
        </w:numPr>
        <w:spacing w:after="60" w:before="40" w:line="290"/>
      </w:pPr>
      <w:r>
        <w:rPr>
          <w:rFonts w:ascii="Lato" w:cs="Lato" w:eastAsia="Lato" w:hAnsi="Lato"/>
          <w:color w:val="1A1A1A"/>
          <w:sz w:val="22"/>
          <w:szCs w:val="22"/>
        </w:rPr>
        <w:t xml:space="preserve">Caulking refresh at all hardscape transitions on the pool deck and entry plaza.</w:t>
      </w:r>
    </w:p>
    <w:p>
      <w:pPr>
        <w:pStyle w:val="Heading3"/>
        <w:spacing w:after="160" w:before="280"/>
      </w:pPr>
      <w:r>
        <w:rPr>
          <w:rFonts w:ascii="Garamond" w:cs="Garamond" w:eastAsia="Garamond" w:hAnsi="Garamond"/>
          <w:b/>
          <w:bCs/>
          <w:color w:val="173F35"/>
          <w:sz w:val="26"/>
          <w:szCs w:val="26"/>
        </w:rPr>
        <w:t xml:space="preserve">2.2  Cost and Funding</w:t>
      </w:r>
    </w:p>
    <w:p>
      <w:pPr>
        <w:pStyle w:val="ListParagraph"/>
        <w:numPr>
          <w:ilvl w:val="0"/>
          <w:numId w:val="2"/>
        </w:numPr>
        <w:spacing w:after="60" w:before="40" w:line="290"/>
      </w:pPr>
      <w:r>
        <w:rPr>
          <w:rFonts w:ascii="Lato" w:cs="Lato" w:eastAsia="Lato" w:hAnsi="Lato"/>
          <w:color w:val="1A1A1A"/>
          <w:sz w:val="22"/>
          <w:szCs w:val="22"/>
        </w:rPr>
        <w:t xml:space="preserve">Total project cost: $105,000.</w:t>
      </w:r>
    </w:p>
    <w:p>
      <w:pPr>
        <w:pStyle w:val="ListParagraph"/>
        <w:numPr>
          <w:ilvl w:val="0"/>
          <w:numId w:val="2"/>
        </w:numPr>
        <w:spacing w:after="60" w:before="40" w:line="290"/>
      </w:pPr>
      <w:r>
        <w:rPr>
          <w:rFonts w:ascii="Lato" w:cs="Lato" w:eastAsia="Lato" w:hAnsi="Lato"/>
          <w:color w:val="1A1A1A"/>
          <w:sz w:val="22"/>
          <w:szCs w:val="22"/>
        </w:rPr>
        <w:t xml:space="preserve">Funding source: Special Assessment, payable in two installments per unit, with full collection complete by October 1, 2027.</w:t>
      </w:r>
    </w:p>
    <w:p>
      <w:pPr>
        <w:pStyle w:val="ListParagraph"/>
        <w:numPr>
          <w:ilvl w:val="0"/>
          <w:numId w:val="2"/>
        </w:numPr>
        <w:spacing w:after="60" w:before="40" w:line="290"/>
      </w:pPr>
      <w:r>
        <w:rPr>
          <w:rFonts w:ascii="Lato" w:cs="Lato" w:eastAsia="Lato" w:hAnsi="Lato"/>
          <w:color w:val="1A1A1A"/>
          <w:sz w:val="22"/>
          <w:szCs w:val="22"/>
        </w:rPr>
        <w:t xml:space="preserve">Reserves are not used for this project; the Board has determined that depleting reserves at this time would leave the Association under-protected against ordinary capital expense in the next 24 months.</w:t>
      </w:r>
    </w:p>
    <w:p>
      <w:pPr>
        <w:pStyle w:val="Heading3"/>
        <w:spacing w:after="160" w:before="280"/>
      </w:pPr>
      <w:r>
        <w:rPr>
          <w:rFonts w:ascii="Garamond" w:cs="Garamond" w:eastAsia="Garamond" w:hAnsi="Garamond"/>
          <w:b/>
          <w:bCs/>
          <w:color w:val="173F35"/>
          <w:sz w:val="26"/>
          <w:szCs w:val="26"/>
        </w:rPr>
        <w:t xml:space="preserve">2.3  Consequence If Not Approved</w:t>
      </w:r>
    </w:p>
    <w:p>
      <w:pPr>
        <w:pStyle w:val="ListParagraph"/>
        <w:numPr>
          <w:ilvl w:val="0"/>
          <w:numId w:val="2"/>
        </w:numPr>
        <w:spacing w:after="60" w:before="40" w:line="290"/>
      </w:pPr>
      <w:r>
        <w:rPr>
          <w:rFonts w:ascii="Lato" w:cs="Lato" w:eastAsia="Lato" w:hAnsi="Lato"/>
          <w:color w:val="1A1A1A"/>
          <w:sz w:val="22"/>
          <w:szCs w:val="22"/>
        </w:rPr>
        <w:t xml:space="preserve">Building envelope deficiencies identified in the Engineer’s Report will continue to deteriorate, with risk of accelerated damage during the 2027 hurricane season.</w:t>
      </w:r>
    </w:p>
    <w:p>
      <w:pPr>
        <w:pStyle w:val="ListParagraph"/>
        <w:numPr>
          <w:ilvl w:val="0"/>
          <w:numId w:val="2"/>
        </w:numPr>
        <w:spacing w:after="60" w:before="40" w:line="290"/>
      </w:pPr>
      <w:r>
        <w:rPr>
          <w:rFonts w:ascii="Lato" w:cs="Lato" w:eastAsia="Lato" w:hAnsi="Lato"/>
          <w:color w:val="1A1A1A"/>
          <w:sz w:val="22"/>
          <w:szCs w:val="22"/>
        </w:rPr>
        <w:t xml:space="preserve">The Board would be required to choose between deferring the work (with increased risk and likely increased cost in a future cycle) or drawing on reserves (with possible negative impact on insurance and lender requirements).</w:t>
      </w:r>
    </w:p>
    <w:p>
      <w:r>
        <w:br w:type="page"/>
      </w:r>
    </w:p>
    <w:p>
      <w:pPr>
        <w:spacing w:after="60" w:before="0"/>
      </w:pPr>
      <w:r>
        <w:rPr>
          <w:rFonts w:ascii="Lato" w:cs="Lato" w:eastAsia="Lato" w:hAnsi="Lato"/>
          <w:b/>
          <w:bCs/>
          <w:color w:val="C9A24A"/>
          <w:spacing w:val="100"/>
          <w:sz w:val="16"/>
          <w:szCs w:val="16"/>
        </w:rPr>
        <w:t xml:space="preserve">SECTION 3</w:t>
      </w:r>
    </w:p>
    <w:p>
      <w:pPr>
        <w:pStyle w:val="Heading1"/>
        <w:spacing w:after="160" w:before="280"/>
      </w:pPr>
      <w:r>
        <w:rPr>
          <w:rFonts w:ascii="Garamond" w:cs="Garamond" w:eastAsia="Garamond" w:hAnsi="Garamond"/>
          <w:b/>
          <w:bCs/>
          <w:color w:val="173F35"/>
          <w:sz w:val="40"/>
          <w:szCs w:val="40"/>
        </w:rPr>
        <w:t xml:space="preserve">Florida Condominium Election Procedures</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FLA. STAT. § 718.112(2)(D) — TWO-ENVELOPE SYSTEM REQUIRED</w:t>
            </w:r>
          </w:p>
          <w:p>
            <w:pPr>
              <w:spacing w:after="0" w:before="0" w:line="300"/>
              <w:jc w:val="left"/>
            </w:pPr>
            <w:r>
              <w:rPr>
                <w:rFonts w:ascii="Lato" w:cs="Lato" w:eastAsia="Lato" w:hAnsi="Lato"/>
                <w:i/>
                <w:iCs/>
                <w:color w:val="1A1A1A"/>
                <w:sz w:val="22"/>
                <w:szCs w:val="22"/>
              </w:rPr>
              <w:t xml:space="preserve">This ballot is provided in accordance with the election procedures required for Florida residential condominium associations. Cast your vote on the inner ballot only. Place the completed inner ballot, unsigned, into the inner envelope and seal it. Place the sealed inner envelope into the outer envelope, complete the voter information and signature on the outside of the outer envelope, and return as instructed in Section 6. Ballots with markings on the inner envelope identifying the voter will be invalidated.</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FLA. STAT. § 718.116 — ASSESSMENT LIABILITY DISCLOSURE</w:t>
            </w:r>
          </w:p>
          <w:p>
            <w:pPr>
              <w:spacing w:after="0" w:before="0" w:line="300"/>
              <w:jc w:val="left"/>
            </w:pPr>
            <w:r>
              <w:rPr>
                <w:rFonts w:ascii="Lato" w:cs="Lato" w:eastAsia="Lato" w:hAnsi="Lato"/>
                <w:i/>
                <w:iCs/>
                <w:color w:val="1A1A1A"/>
                <w:sz w:val="22"/>
                <w:szCs w:val="22"/>
              </w:rPr>
              <w:t xml:space="preserve">If this special assessment is approved by a majority of total voting interests, each unit owner shall be liable for the per-unit assessment of $1,250 in accordance with Fla. Stat. § 718.116. Nonpayment may result in the recordation of a claim of lien against the unit, foreclosure of that lien, and recovery of attorneys’ fees and costs in accordance with the Declaration and applicable law.</w:t>
            </w:r>
          </w:p>
        </w:tc>
      </w:tr>
    </w:tbl>
    <w:p>
      <w:r>
        <w:br w:type="page"/>
      </w:r>
    </w:p>
    <w:p>
      <w:pPr>
        <w:spacing w:after="60" w:before="0"/>
      </w:pPr>
      <w:r>
        <w:rPr>
          <w:rFonts w:ascii="Lato" w:cs="Lato" w:eastAsia="Lato" w:hAnsi="Lato"/>
          <w:b/>
          <w:bCs/>
          <w:color w:val="C9A24A"/>
          <w:spacing w:val="100"/>
          <w:sz w:val="16"/>
          <w:szCs w:val="16"/>
        </w:rPr>
        <w:t xml:space="preserve">SECTION 4</w:t>
      </w:r>
    </w:p>
    <w:p>
      <w:pPr>
        <w:pStyle w:val="Heading1"/>
        <w:spacing w:after="160" w:before="280"/>
      </w:pPr>
      <w:r>
        <w:rPr>
          <w:rFonts w:ascii="Garamond" w:cs="Garamond" w:eastAsia="Garamond" w:hAnsi="Garamond"/>
          <w:b/>
          <w:bCs/>
          <w:color w:val="173F35"/>
          <w:sz w:val="40"/>
          <w:szCs w:val="40"/>
        </w:rPr>
        <w:t xml:space="preserve">Ballot</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QUESTION PRESENTED</w:t>
            </w:r>
          </w:p>
          <w:p>
            <w:pPr>
              <w:spacing w:after="0" w:before="0" w:line="300"/>
              <w:jc w:val="left"/>
            </w:pPr>
            <w:r>
              <w:rPr>
                <w:rFonts w:ascii="Lato" w:cs="Lato" w:eastAsia="Lato" w:hAnsi="Lato"/>
                <w:i/>
                <w:iCs/>
                <w:color w:val="1A1A1A"/>
                <w:sz w:val="22"/>
                <w:szCs w:val="22"/>
              </w:rPr>
              <w:t xml:space="preserve">Shall Tarpon Bay Condominium Association, Inc. levy a special assessment of $1,250.00 per unit, payable in two installments of $625.00 on July 1, 2027 and $625.00 on October 1, 2027, to fund the Building Envelope Inspection and Remediation Project as described in Section 2 of this ballot package?</w:t>
            </w:r>
          </w:p>
        </w:tc>
      </w:tr>
    </w:tbl>
    <w:p>
      <w:pPr>
        <w:spacing w:after="8" w:before="8"/>
      </w:pPr>
      <w:r>
        <w:rPr>
          <w:sz w:val="2"/>
          <w:szCs w:val="2"/>
        </w:rPr>
        <w:t xml:space="preserve"/>
      </w:r>
    </w:p>
    <w:p>
      <w:pPr>
        <w:spacing w:after="120" w:before="0" w:line="300"/>
        <w:jc w:val="left"/>
      </w:pPr>
      <w:r>
        <w:rPr>
          <w:rFonts w:ascii="Lato" w:cs="Lato" w:eastAsia="Lato" w:hAnsi="Lato"/>
          <w:b/>
          <w:bCs/>
          <w:color w:val="173F35"/>
          <w:sz w:val="22"/>
          <w:szCs w:val="22"/>
        </w:rPr>
        <w:t xml:space="preserve">Vote (select one):</w:t>
      </w:r>
    </w:p>
    <w:p>
      <w:pPr>
        <w:spacing w:after="80" w:before="80" w:line="320"/>
      </w:pPr>
      <w:r>
        <w:rPr>
          <w:rFonts w:ascii="Lato" w:cs="Lato" w:eastAsia="Lato" w:hAnsi="Lato"/>
          <w:b/>
          <w:bCs/>
          <w:color w:val="173F35"/>
          <w:sz w:val="24"/>
          <w:szCs w:val="24"/>
        </w:rPr>
        <w:t xml:space="preserve">☐  </w:t>
      </w:r>
      <w:r>
        <w:rPr>
          <w:rFonts w:ascii="Lato" w:cs="Lato" w:eastAsia="Lato" w:hAnsi="Lato"/>
          <w:b/>
          <w:bCs/>
          <w:color w:val="1A1A1A"/>
          <w:sz w:val="22"/>
          <w:szCs w:val="22"/>
        </w:rPr>
        <w:t xml:space="preserve">YES — I approve the $1,250 per-unit Special Assessment for the Building Envelope Inspection and Remediation Project.</w:t>
      </w:r>
    </w:p>
    <w:p>
      <w:pPr>
        <w:spacing w:after="80" w:before="80" w:line="320"/>
      </w:pPr>
      <w:r>
        <w:rPr>
          <w:rFonts w:ascii="Lato" w:cs="Lato" w:eastAsia="Lato" w:hAnsi="Lato"/>
          <w:b/>
          <w:bCs/>
          <w:color w:val="173F35"/>
          <w:sz w:val="24"/>
          <w:szCs w:val="24"/>
        </w:rPr>
        <w:t xml:space="preserve">☐  </w:t>
      </w:r>
      <w:r>
        <w:rPr>
          <w:rFonts w:ascii="Lato" w:cs="Lato" w:eastAsia="Lato" w:hAnsi="Lato"/>
          <w:b/>
          <w:bCs/>
          <w:color w:val="1A1A1A"/>
          <w:sz w:val="22"/>
          <w:szCs w:val="22"/>
        </w:rPr>
        <w:t xml:space="preserve">NO — I do not approve the Special Assessment.</w:t>
      </w:r>
    </w:p>
    <w:p>
      <w:pPr>
        <w:spacing w:after="80" w:before="80" w:line="320"/>
      </w:pPr>
      <w:r>
        <w:rPr>
          <w:rFonts w:ascii="Lato" w:cs="Lato" w:eastAsia="Lato" w:hAnsi="Lato"/>
          <w:b/>
          <w:bCs/>
          <w:color w:val="173F35"/>
          <w:sz w:val="24"/>
          <w:szCs w:val="24"/>
        </w:rPr>
        <w:t xml:space="preserve">☐  </w:t>
      </w:r>
      <w:r>
        <w:rPr>
          <w:rFonts w:ascii="Lato" w:cs="Lato" w:eastAsia="Lato" w:hAnsi="Lato"/>
          <w:color w:val="1A1A1A"/>
          <w:sz w:val="22"/>
          <w:szCs w:val="22"/>
        </w:rPr>
        <w:t xml:space="preserve">Abstain</w:t>
      </w:r>
    </w:p>
    <w:p>
      <w:r>
        <w:br w:type="page"/>
      </w:r>
    </w:p>
    <w:p>
      <w:pPr>
        <w:spacing w:after="60" w:before="0"/>
      </w:pPr>
      <w:r>
        <w:rPr>
          <w:rFonts w:ascii="Lato" w:cs="Lato" w:eastAsia="Lato" w:hAnsi="Lato"/>
          <w:b/>
          <w:bCs/>
          <w:color w:val="C9A24A"/>
          <w:spacing w:val="100"/>
          <w:sz w:val="16"/>
          <w:szCs w:val="16"/>
        </w:rPr>
        <w:t xml:space="preserve">SECTION 5</w:t>
      </w:r>
    </w:p>
    <w:p>
      <w:pPr>
        <w:pStyle w:val="Heading1"/>
        <w:spacing w:after="160" w:before="280"/>
      </w:pPr>
      <w:r>
        <w:rPr>
          <w:rFonts w:ascii="Garamond" w:cs="Garamond" w:eastAsia="Garamond" w:hAnsi="Garamond"/>
          <w:b/>
          <w:bCs/>
          <w:color w:val="173F35"/>
          <w:sz w:val="40"/>
          <w:szCs w:val="40"/>
        </w:rPr>
        <w:t xml:space="preserve">Member Signature &amp; Verification</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For Florida condominium ballots, this signature appears on the OUTER envelope only. The inner ballot remains unsigned to preserve secrecy of the vote.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8"/>
              <w:left w:val="single" w:color="C9A24A" w:sz="8"/>
              <w:bottom w:val="single" w:color="C9A24A" w:sz="8"/>
              <w:right w:val="single" w:color="C9A24A" w:sz="8"/>
            </w:tcBorders>
            <w:shd w:fill="F7F1DF" w:color="auto" w:val="clear"/>
            <w:tcMar>
              <w:top w:type="dxa" w:w="280"/>
              <w:left w:type="dxa" w:w="280"/>
              <w:bottom w:type="dxa" w:w="280"/>
              <w:right w:type="dxa" w:w="280"/>
            </w:tcMar>
          </w:tcPr>
          <w:p>
            <w:pPr>
              <w:spacing w:after="60" w:before="0"/>
            </w:pPr>
            <w:r>
              <w:rPr>
                <w:rFonts w:ascii="Lato" w:cs="Lato" w:eastAsia="Lato" w:hAnsi="Lato"/>
                <w:b/>
                <w:bCs/>
                <w:color w:val="C9A24A"/>
                <w:spacing w:val="100"/>
                <w:sz w:val="16"/>
                <w:szCs w:val="16"/>
              </w:rPr>
              <w:t xml:space="preserve">OUTER ENVELOPE — VOTER VERIFICATION</w:t>
            </w:r>
          </w:p>
          <w:p>
            <w:pPr>
              <w:spacing w:after="200" w:before="0" w:line="320"/>
              <w:jc w:val="left"/>
            </w:pPr>
            <w:r>
              <w:rPr>
                <w:rFonts w:ascii="Lato" w:cs="Lato" w:eastAsia="Lato" w:hAnsi="Lato"/>
                <w:color w:val="1A1A1A"/>
                <w:sz w:val="22"/>
                <w:szCs w:val="22"/>
              </w:rPr>
              <w:t xml:space="preserve">I certify that I am the owner of record of the unit identified below as of the March 21, 2027 record date, that my account with Tarpon Bay Condominium Association, Inc. is in good standing, and that I am eligible to cast this ballot.</w:t>
            </w:r>
          </w:p>
          <w:p>
            <w:pPr>
              <w:spacing w:after="60" w:before="320"/>
            </w:pPr>
            <w:r>
              <w:rPr>
                <w:rFonts w:ascii="Lato" w:cs="Lato" w:eastAsia="Lato" w:hAnsi="Lato"/>
                <w:b/>
                <w:bCs/>
                <w:color w:val="1A1A1A"/>
                <w:sz w:val="22"/>
                <w:szCs w:val="22"/>
              </w:rPr>
              <w:t xml:space="preserve">Voter Signature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1A1A1A"/>
                <w:sz w:val="18"/>
                <w:szCs w:val="18"/>
              </w:rPr>
              <w:t xml:space="preserve">Print Name: ____________________________________</w:t>
            </w:r>
          </w:p>
          <w:p>
            <w:pPr>
              <w:spacing w:after="60" w:before="0" w:line="300"/>
              <w:jc w:val="left"/>
            </w:pPr>
            <w:r>
              <w:rPr>
                <w:rFonts w:ascii="Lato" w:cs="Lato" w:eastAsia="Lato" w:hAnsi="Lato"/>
                <w:color w:val="1A1A1A"/>
                <w:sz w:val="18"/>
                <w:szCs w:val="18"/>
              </w:rPr>
              <w:t xml:space="preserve">Unit #: ____________________________________</w:t>
            </w:r>
          </w:p>
          <w:p>
            <w:pPr>
              <w:spacing w:after="0" w:before="0" w:line="300"/>
              <w:jc w:val="left"/>
            </w:pPr>
            <w:r>
              <w:rPr>
                <w:rFonts w:ascii="Lato" w:cs="Lato" w:eastAsia="Lato" w:hAnsi="Lato"/>
                <w:color w:val="1A1A1A"/>
                <w:sz w:val="18"/>
                <w:szCs w:val="18"/>
              </w:rPr>
              <w:t xml:space="preserve">Date: ____________________________________</w:t>
            </w:r>
          </w:p>
        </w:tc>
      </w:tr>
    </w:tbl>
    <w:p>
      <w:r>
        <w:br w:type="page"/>
      </w:r>
    </w:p>
    <w:p>
      <w:pPr>
        <w:spacing w:after="60" w:before="0"/>
      </w:pPr>
      <w:r>
        <w:rPr>
          <w:rFonts w:ascii="Lato" w:cs="Lato" w:eastAsia="Lato" w:hAnsi="Lato"/>
          <w:b/>
          <w:bCs/>
          <w:color w:val="C9A24A"/>
          <w:spacing w:val="100"/>
          <w:sz w:val="16"/>
          <w:szCs w:val="16"/>
        </w:rPr>
        <w:t xml:space="preserve">SECTION 6</w:t>
      </w:r>
    </w:p>
    <w:p>
      <w:pPr>
        <w:pStyle w:val="Heading1"/>
        <w:spacing w:after="160" w:before="280"/>
      </w:pPr>
      <w:r>
        <w:rPr>
          <w:rFonts w:ascii="Garamond" w:cs="Garamond" w:eastAsia="Garamond" w:hAnsi="Garamond"/>
          <w:b/>
          <w:bCs/>
          <w:color w:val="173F35"/>
          <w:sz w:val="40"/>
          <w:szCs w:val="40"/>
        </w:rPr>
        <w:t xml:space="preserve">Return Instructions</w:t>
      </w:r>
    </w:p>
    <w:p>
      <w:pPr>
        <w:pBdr>
          <w:bottom w:val="single" w:color="C9A24A" w:sz="8" w:space="1"/>
        </w:pBdr>
        <w:spacing w:after="120" w:before="80"/>
      </w:pPr>
      <w:r>
        <w:t xml:space="preserve"/>
      </w:r>
    </w:p>
    <w:p>
      <w:pPr>
        <w:pStyle w:val="ListParagraph"/>
        <w:numPr>
          <w:ilvl w:val="0"/>
          <w:numId w:val="3"/>
        </w:numPr>
        <w:spacing w:after="100" w:before="60" w:line="300"/>
      </w:pPr>
      <w:r>
        <w:rPr>
          <w:rFonts w:ascii="Lato" w:cs="Lato" w:eastAsia="Lato" w:hAnsi="Lato"/>
          <w:color w:val="1A1A1A"/>
          <w:sz w:val="22"/>
          <w:szCs w:val="22"/>
        </w:rPr>
        <w:t xml:space="preserve">Complete your vote in Section 4 (YES, NO, or Abstain).</w:t>
      </w:r>
    </w:p>
    <w:p>
      <w:pPr>
        <w:pStyle w:val="ListParagraph"/>
        <w:numPr>
          <w:ilvl w:val="0"/>
          <w:numId w:val="3"/>
        </w:numPr>
        <w:spacing w:after="100" w:before="60" w:line="300"/>
      </w:pPr>
      <w:r>
        <w:rPr>
          <w:rFonts w:ascii="Lato" w:cs="Lato" w:eastAsia="Lato" w:hAnsi="Lato"/>
          <w:color w:val="1A1A1A"/>
          <w:sz w:val="22"/>
          <w:szCs w:val="22"/>
        </w:rPr>
        <w:t xml:space="preserve">Place the completed inner ballot, unsigned, into the inner envelope marked “BALLOT.” Do not sign or mark the inner envelope. Markings that identify the voter will invalidate the ballot.</w:t>
      </w:r>
    </w:p>
    <w:p>
      <w:pPr>
        <w:pStyle w:val="ListParagraph"/>
        <w:numPr>
          <w:ilvl w:val="0"/>
          <w:numId w:val="3"/>
        </w:numPr>
        <w:spacing w:after="100" w:before="60" w:line="300"/>
      </w:pPr>
      <w:r>
        <w:rPr>
          <w:rFonts w:ascii="Lato" w:cs="Lato" w:eastAsia="Lato" w:hAnsi="Lato"/>
          <w:color w:val="1A1A1A"/>
          <w:sz w:val="22"/>
          <w:szCs w:val="22"/>
        </w:rPr>
        <w:t xml:space="preserve">Seal the inner envelope.</w:t>
      </w:r>
    </w:p>
    <w:p>
      <w:pPr>
        <w:pStyle w:val="ListParagraph"/>
        <w:numPr>
          <w:ilvl w:val="0"/>
          <w:numId w:val="3"/>
        </w:numPr>
        <w:spacing w:after="100" w:before="60" w:line="300"/>
      </w:pPr>
      <w:r>
        <w:rPr>
          <w:rFonts w:ascii="Lato" w:cs="Lato" w:eastAsia="Lato" w:hAnsi="Lato"/>
          <w:color w:val="1A1A1A"/>
          <w:sz w:val="22"/>
          <w:szCs w:val="22"/>
        </w:rPr>
        <w:t xml:space="preserve">Place the sealed inner envelope into the OUTER envelope marked “TARPON BAY CONDOMINIUM ASSOCIATION — OFFICIAL BALLOT.”</w:t>
      </w:r>
    </w:p>
    <w:p>
      <w:pPr>
        <w:pStyle w:val="ListParagraph"/>
        <w:numPr>
          <w:ilvl w:val="0"/>
          <w:numId w:val="3"/>
        </w:numPr>
        <w:spacing w:after="100" w:before="60" w:line="300"/>
      </w:pPr>
      <w:r>
        <w:rPr>
          <w:rFonts w:ascii="Lato" w:cs="Lato" w:eastAsia="Lato" w:hAnsi="Lato"/>
          <w:color w:val="1A1A1A"/>
          <w:sz w:val="22"/>
          <w:szCs w:val="22"/>
        </w:rPr>
        <w:t xml:space="preserve">Complete and sign the OUTER envelope in Section 5.</w:t>
      </w:r>
    </w:p>
    <w:p>
      <w:pPr>
        <w:pStyle w:val="ListParagraph"/>
        <w:numPr>
          <w:ilvl w:val="0"/>
          <w:numId w:val="3"/>
        </w:numPr>
        <w:spacing w:after="100" w:before="60" w:line="300"/>
      </w:pPr>
      <w:r>
        <w:rPr>
          <w:rFonts w:ascii="Lato" w:cs="Lato" w:eastAsia="Lato" w:hAnsi="Lato"/>
          <w:color w:val="1A1A1A"/>
          <w:sz w:val="22"/>
          <w:szCs w:val="22"/>
        </w:rPr>
        <w:t xml:space="preserve">Return by one of the following, no later than Friday, May 21, 2027 at 5:00 PM Local Time:  (a) U.S. Mail to Tarpon Bay Condominium Association, Inc., c/o Coastal Compliance LLC, 8000 Daniels Parkway, Suite 200, Fort Myers, Florida 33912;  (b) hand delivery to the Association office at 1820 Tarpon Bay Drive during business hours;  (c) at the in-person meeting on May 22, 2027 before the start of voting.</w:t>
      </w:r>
    </w:p>
    <w:p>
      <w:pPr>
        <w:pStyle w:val="ListParagraph"/>
        <w:numPr>
          <w:ilvl w:val="0"/>
          <w:numId w:val="3"/>
        </w:numPr>
        <w:spacing w:after="100" w:before="60" w:line="300"/>
      </w:pPr>
      <w:r>
        <w:rPr>
          <w:rFonts w:ascii="Lato" w:cs="Lato" w:eastAsia="Lato" w:hAnsi="Lato"/>
          <w:color w:val="1A1A1A"/>
          <w:sz w:val="22"/>
          <w:szCs w:val="22"/>
        </w:rPr>
        <w:t xml:space="preserve">Ballots received after the deadline will not be counted. Ballots with markings on the inner envelope that identify the voter will be invalidated. Ballots with signatures missing from the outer envelope will be invalidated.</w:t>
      </w:r>
    </w:p>
    <w:p>
      <w:r>
        <w:br w:type="page"/>
      </w:r>
    </w:p>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Sample Ballot  •  Special Assessment  •  Florida</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Sample Ballot — Special Assessment (FL)</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Ballot — Special Assessment (Florida)</dc:title>
  <dc:creator>Common Interest Community Standards Council (CIC-SC)</dc:creator>
  <dc:description>CIC-SC standalone draft (illustrative).</dc:description>
  <cp:lastModifiedBy>Un-named</cp:lastModifiedBy>
  <cp:revision>1</cp:revision>
  <dcterms:created xsi:type="dcterms:W3CDTF">2026-05-10T22:43:58.171Z</dcterms:created>
  <dcterms:modified xsi:type="dcterms:W3CDTF">2026-05-10T22:43:58.171Z</dcterms:modified>
</cp:coreProperties>
</file>

<file path=docProps/custom.xml><?xml version="1.0" encoding="utf-8"?>
<Properties xmlns="http://schemas.openxmlformats.org/officeDocument/2006/custom-properties" xmlns:vt="http://schemas.openxmlformats.org/officeDocument/2006/docPropsVTypes"/>
</file>