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Educational Guide  /  Companion to the RFP Tier 3/4 Template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Running a</w:t>
      </w:r>
    </w:p>
    <w:p>
      <w:pPr>
        <w:spacing w:after="240" w:before="0"/>
        <w:jc w:val="left"/>
      </w:pPr>
      <w:r>
        <w:rPr>
          <w:rFonts w:ascii="Garamond" w:cs="Garamond" w:eastAsia="Garamond" w:hAnsi="Garamond"/>
          <w:i/>
          <w:iCs/>
          <w:color w:val="173F35"/>
          <w:sz w:val="60"/>
          <w:szCs w:val="60"/>
        </w:rPr>
        <w:t xml:space="preserve">Capital RFP</w:t>
      </w:r>
    </w:p>
    <w:p>
      <w:pPr>
        <w:spacing w:after="1200" w:before="80"/>
        <w:jc w:val="left"/>
      </w:pPr>
      <w:r>
        <w:rPr>
          <w:rFonts w:ascii="Lato" w:cs="Lato" w:eastAsia="Lato" w:hAnsi="Lato"/>
          <w:color w:val="1A1A1A"/>
          <w:sz w:val="24"/>
          <w:szCs w:val="24"/>
        </w:rPr>
        <w:t xml:space="preserve">How HOA and condominium boards source, evaluate, and award capital projects, professional services, and management contracts — written for volunteer directors and managers in Texas and Florida.</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Educational Guide  •  Tier 3–4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Reserve Committees  •  Capital Committees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RFP Tier 3/4 Adoption-Ready Template  •  Standalone Drafts (Roofing, Management)  •  Comparative Proposal Evaluation Worksheet</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EXECUTIVE SUMMARY</w:t>
      </w:r>
    </w:p>
    <w:p>
      <w:pPr>
        <w:pStyle w:val="Heading1"/>
        <w:spacing w:after="160" w:before="280"/>
      </w:pPr>
      <w:r>
        <w:rPr>
          <w:rFonts w:ascii="Garamond" w:cs="Garamond" w:eastAsia="Garamond" w:hAnsi="Garamond"/>
          <w:b/>
          <w:bCs/>
          <w:color w:val="173F35"/>
          <w:sz w:val="40"/>
          <w:szCs w:val="40"/>
        </w:rPr>
        <w:t xml:space="preserve">In Brief</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Tier 3–4 contracts are the decisions that define a board’s legacy. A botched roof replacement that produces a class-action premium dispute follows a community for a decade. A management transition done well lifts an association out of mediocrity in eighteen months. The dollar values are bigger, the recovery time is longer, and the reputational stakes are higher than any Tier 1–2 award.</w:t>
      </w:r>
    </w:p>
    <w:p>
      <w:pPr>
        <w:spacing w:after="120" w:before="0" w:line="320"/>
        <w:jc w:val="left"/>
      </w:pPr>
      <w:r>
        <w:rPr>
          <w:rFonts w:ascii="Lato" w:cs="Lato" w:eastAsia="Lato" w:hAnsi="Lato"/>
          <w:color w:val="1A1A1A"/>
          <w:sz w:val="22"/>
          <w:szCs w:val="22"/>
        </w:rPr>
        <w:t xml:space="preserve">This guide explains how to run a Tier 3–4 RFP at the standard such decisions deserve: pre-qualification, longer calendars, structured presentations, bonding, retainage, milestone-based payment, and the documentation that protects a board if the decision is ever questioned. It pairs with the CIC-SC Tier 3–4 RFP Template and the Comparative Proposal Evaluation Worksheet.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IN ONE PARAGRAPH</w:t>
            </w:r>
          </w:p>
          <w:p>
            <w:pPr>
              <w:spacing w:after="0" w:before="0" w:line="300"/>
              <w:jc w:val="left"/>
            </w:pPr>
            <w:r>
              <w:rPr>
                <w:rFonts w:ascii="Lato" w:cs="Lato" w:eastAsia="Lato" w:hAnsi="Lato"/>
                <w:color w:val="1A1A1A"/>
                <w:sz w:val="22"/>
                <w:szCs w:val="22"/>
              </w:rPr>
              <w:t xml:space="preserve">Pre-qualify capital bidders for bonding capacity and financial strength before the full RFP. Run the solicitation on a 60–120 day calendar. Issue a written scope tied to the reserve study or engineering report. Score with the CIC-SC Worksheet at lower weight on price, higher weight on qualifications. Hold structured vendor presentations for the shortlist. Negotiate the contract carefully — counsel, not a board volunteer. Sign on the Association’s paper.</w:t>
            </w:r>
          </w:p>
        </w:tc>
      </w:tr>
    </w:tbl>
    <w:p>
      <w:r>
        <w:br w:type="page"/>
      </w:r>
    </w:p>
    <w:p>
      <w:pPr>
        <w:spacing w:after="60" w:before="0"/>
      </w:pPr>
      <w:r>
        <w:rPr>
          <w:rFonts w:ascii="Lato" w:cs="Lato" w:eastAsia="Lato" w:hAnsi="Lato"/>
          <w:b/>
          <w:bCs/>
          <w:color w:val="C9A24A"/>
          <w:spacing w:val="100"/>
          <w:sz w:val="16"/>
          <w:szCs w:val="16"/>
        </w:rPr>
        <w:t xml:space="preserve">WHY THIS MATTERS</w:t>
      </w:r>
    </w:p>
    <w:p>
      <w:pPr>
        <w:pStyle w:val="Heading1"/>
        <w:spacing w:after="160" w:before="280"/>
      </w:pPr>
      <w:r>
        <w:rPr>
          <w:rFonts w:ascii="Garamond" w:cs="Garamond" w:eastAsia="Garamond" w:hAnsi="Garamond"/>
          <w:b/>
          <w:bCs/>
          <w:color w:val="173F35"/>
          <w:sz w:val="40"/>
          <w:szCs w:val="40"/>
        </w:rPr>
        <w:t xml:space="preserve">Different Decisions Need Different Processes</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A Tier 1–2 RFP cycle can run in 35 days. A Tier 3–4 cycle runs in 60–120, sometimes longer for the largest capital projects. The added time goes into three places: pre-qualification, vendor presentations, and contract negotiation. Each of these is a real cost — both to the Association and to the bidders — but it is cheaper than the alternative, which is a decision made on incomplete information about an irreversible commitment.</w:t>
      </w:r>
    </w:p>
    <w:p>
      <w:pPr>
        <w:spacing w:after="200" w:before="0" w:line="320"/>
        <w:jc w:val="left"/>
      </w:pPr>
      <w:r>
        <w:rPr>
          <w:rFonts w:ascii="Lato" w:cs="Lato" w:eastAsia="Lato" w:hAnsi="Lato"/>
          <w:color w:val="1A1A1A"/>
          <w:sz w:val="22"/>
          <w:szCs w:val="22"/>
        </w:rPr>
        <w:t xml:space="preserve">Tier 3–4 awards also surface conflicts more aggressively than Tier 1–2 awards. A landscape contract worth $50,000 a year rarely produces a director who wants the contract for a relative. A roof replacement worth $1.5 million does. The conflict-of-interest framework in the Code of Ethics, the Comparative Evaluation Worksheet, and the RFP itself becomes load-bearing.</w:t>
      </w:r>
    </w:p>
    <w:p>
      <w:r>
        <w:br w:type="page"/>
      </w:r>
    </w:p>
    <w:p>
      <w:pPr>
        <w:spacing w:after="60" w:before="0"/>
      </w:pPr>
      <w:r>
        <w:rPr>
          <w:rFonts w:ascii="Lato" w:cs="Lato" w:eastAsia="Lato" w:hAnsi="Lato"/>
          <w:b/>
          <w:bCs/>
          <w:color w:val="C9A24A"/>
          <w:spacing w:val="100"/>
          <w:sz w:val="16"/>
          <w:szCs w:val="16"/>
        </w:rPr>
        <w:t xml:space="preserve">TWO PROJECT TYPES, ONE TOOLKIT</w:t>
      </w:r>
    </w:p>
    <w:p>
      <w:pPr>
        <w:pStyle w:val="Heading1"/>
        <w:spacing w:after="160" w:before="280"/>
      </w:pPr>
      <w:r>
        <w:rPr>
          <w:rFonts w:ascii="Garamond" w:cs="Garamond" w:eastAsia="Garamond" w:hAnsi="Garamond"/>
          <w:b/>
          <w:bCs/>
          <w:color w:val="173F35"/>
          <w:sz w:val="40"/>
          <w:szCs w:val="40"/>
        </w:rPr>
        <w:t xml:space="preserve">Capital Projects vs. Professional Services</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The Tier 3–4 RFP serves both capital projects (one-time construction or improvement) and professional services or management contracts (recurring, high-value engagements). The framework is the same; the emphasis differs.</w:t>
      </w:r>
    </w:p>
    <w:p>
      <w:pPr>
        <w:pStyle w:val="Heading3"/>
        <w:spacing w:after="160" w:before="280"/>
      </w:pPr>
      <w:r>
        <w:rPr>
          <w:rFonts w:ascii="Garamond" w:cs="Garamond" w:eastAsia="Garamond" w:hAnsi="Garamond"/>
          <w:b/>
          <w:bCs/>
          <w:color w:val="173F35"/>
          <w:sz w:val="26"/>
          <w:szCs w:val="26"/>
        </w:rPr>
        <w:t xml:space="preserve">Capital projects</w:t>
      </w:r>
    </w:p>
    <w:p>
      <w:pPr>
        <w:pStyle w:val="ListParagraph"/>
        <w:numPr>
          <w:ilvl w:val="0"/>
          <w:numId w:val="2"/>
        </w:numPr>
        <w:spacing w:after="60" w:before="40" w:line="290"/>
      </w:pPr>
      <w:r>
        <w:rPr>
          <w:rFonts w:ascii="Lato" w:cs="Lato" w:eastAsia="Lato" w:hAnsi="Lato"/>
          <w:color w:val="1A1A1A"/>
          <w:sz w:val="22"/>
          <w:szCs w:val="22"/>
        </w:rPr>
        <w:t xml:space="preserve">Anchored to a reserve study, engineering report, or replacement schedule.</w:t>
      </w:r>
    </w:p>
    <w:p>
      <w:pPr>
        <w:pStyle w:val="ListParagraph"/>
        <w:numPr>
          <w:ilvl w:val="0"/>
          <w:numId w:val="2"/>
        </w:numPr>
        <w:spacing w:after="60" w:before="40" w:line="290"/>
      </w:pPr>
      <w:r>
        <w:rPr>
          <w:rFonts w:ascii="Lato" w:cs="Lato" w:eastAsia="Lato" w:hAnsi="Lato"/>
          <w:color w:val="1A1A1A"/>
          <w:sz w:val="22"/>
          <w:szCs w:val="22"/>
        </w:rPr>
        <w:t xml:space="preserve">Pre-qualification is strongly recommended above $250k.</w:t>
      </w:r>
    </w:p>
    <w:p>
      <w:pPr>
        <w:pStyle w:val="ListParagraph"/>
        <w:numPr>
          <w:ilvl w:val="0"/>
          <w:numId w:val="2"/>
        </w:numPr>
        <w:spacing w:after="60" w:before="40" w:line="290"/>
      </w:pPr>
      <w:r>
        <w:rPr>
          <w:rFonts w:ascii="Lato" w:cs="Lato" w:eastAsia="Lato" w:hAnsi="Lato"/>
          <w:color w:val="1A1A1A"/>
          <w:sz w:val="22"/>
          <w:szCs w:val="22"/>
        </w:rPr>
        <w:t xml:space="preserve">Performance and payment bonds are required above the Association’s policy threshold (typically $50k–$100k in Texas, $100k+ in Florida).</w:t>
      </w:r>
    </w:p>
    <w:p>
      <w:pPr>
        <w:pStyle w:val="ListParagraph"/>
        <w:numPr>
          <w:ilvl w:val="0"/>
          <w:numId w:val="2"/>
        </w:numPr>
        <w:spacing w:after="60" w:before="40" w:line="290"/>
      </w:pPr>
      <w:r>
        <w:rPr>
          <w:rFonts w:ascii="Lato" w:cs="Lato" w:eastAsia="Lato" w:hAnsi="Lato"/>
          <w:color w:val="1A1A1A"/>
          <w:sz w:val="22"/>
          <w:szCs w:val="22"/>
        </w:rPr>
        <w:t xml:space="preserve">Retainage of 5–10% held until Substantial Completion / Final Completion.</w:t>
      </w:r>
    </w:p>
    <w:p>
      <w:pPr>
        <w:pStyle w:val="ListParagraph"/>
        <w:numPr>
          <w:ilvl w:val="0"/>
          <w:numId w:val="2"/>
        </w:numPr>
        <w:spacing w:after="60" w:before="40" w:line="290"/>
      </w:pPr>
      <w:r>
        <w:rPr>
          <w:rFonts w:ascii="Lato" w:cs="Lato" w:eastAsia="Lato" w:hAnsi="Lato"/>
          <w:color w:val="1A1A1A"/>
          <w:sz w:val="22"/>
          <w:szCs w:val="22"/>
        </w:rPr>
        <w:t xml:space="preserve">Liquidated damages may be appropriate for time-sensitive scopes (paving before season, roofing before hurricane season).</w:t>
      </w:r>
    </w:p>
    <w:p>
      <w:pPr>
        <w:pStyle w:val="ListParagraph"/>
        <w:numPr>
          <w:ilvl w:val="0"/>
          <w:numId w:val="2"/>
        </w:numPr>
        <w:spacing w:after="60" w:before="40" w:line="290"/>
      </w:pPr>
      <w:r>
        <w:rPr>
          <w:rFonts w:ascii="Lato" w:cs="Lato" w:eastAsia="Lato" w:hAnsi="Lato"/>
          <w:color w:val="1A1A1A"/>
          <w:sz w:val="22"/>
          <w:szCs w:val="22"/>
        </w:rPr>
        <w:t xml:space="preserve">Lien-waiver delivery is integral to the payment process.</w:t>
      </w:r>
    </w:p>
    <w:p>
      <w:pPr>
        <w:pStyle w:val="ListParagraph"/>
        <w:numPr>
          <w:ilvl w:val="0"/>
          <w:numId w:val="2"/>
        </w:numPr>
        <w:spacing w:after="60" w:before="40" w:line="290"/>
      </w:pPr>
      <w:r>
        <w:rPr>
          <w:rFonts w:ascii="Lato" w:cs="Lato" w:eastAsia="Lato" w:hAnsi="Lato"/>
          <w:color w:val="1A1A1A"/>
          <w:sz w:val="22"/>
          <w:szCs w:val="22"/>
        </w:rPr>
        <w:t xml:space="preserve">Use AIA forms (A101 / A201) or the CIC-SC Construction Contract with Association-specific riders. Not the Tier 1/2 services agreement.</w:t>
      </w:r>
    </w:p>
    <w:p>
      <w:pPr>
        <w:pStyle w:val="Heading3"/>
        <w:spacing w:after="160" w:before="280"/>
      </w:pPr>
      <w:r>
        <w:rPr>
          <w:rFonts w:ascii="Garamond" w:cs="Garamond" w:eastAsia="Garamond" w:hAnsi="Garamond"/>
          <w:b/>
          <w:bCs/>
          <w:color w:val="173F35"/>
          <w:sz w:val="26"/>
          <w:szCs w:val="26"/>
        </w:rPr>
        <w:t xml:space="preserve">Professional services</w:t>
      </w:r>
    </w:p>
    <w:p>
      <w:pPr>
        <w:pStyle w:val="ListParagraph"/>
        <w:numPr>
          <w:ilvl w:val="0"/>
          <w:numId w:val="2"/>
        </w:numPr>
        <w:spacing w:after="60" w:before="40" w:line="290"/>
      </w:pPr>
      <w:r>
        <w:rPr>
          <w:rFonts w:ascii="Lato" w:cs="Lato" w:eastAsia="Lato" w:hAnsi="Lato"/>
          <w:color w:val="1A1A1A"/>
          <w:sz w:val="22"/>
          <w:szCs w:val="22"/>
        </w:rPr>
        <w:t xml:space="preserve">Anchored to an operational need (transition, replacement of incumbent, increased capacity).</w:t>
      </w:r>
    </w:p>
    <w:p>
      <w:pPr>
        <w:pStyle w:val="ListParagraph"/>
        <w:numPr>
          <w:ilvl w:val="0"/>
          <w:numId w:val="2"/>
        </w:numPr>
        <w:spacing w:after="60" w:before="40" w:line="290"/>
      </w:pPr>
      <w:r>
        <w:rPr>
          <w:rFonts w:ascii="Lato" w:cs="Lato" w:eastAsia="Lato" w:hAnsi="Lato"/>
          <w:color w:val="1A1A1A"/>
          <w:sz w:val="22"/>
          <w:szCs w:val="22"/>
        </w:rPr>
        <w:t xml:space="preserve">Pre-qualification is generally unnecessary.</w:t>
      </w:r>
    </w:p>
    <w:p>
      <w:pPr>
        <w:pStyle w:val="ListParagraph"/>
        <w:numPr>
          <w:ilvl w:val="0"/>
          <w:numId w:val="2"/>
        </w:numPr>
        <w:spacing w:after="60" w:before="40" w:line="290"/>
      </w:pPr>
      <w:r>
        <w:rPr>
          <w:rFonts w:ascii="Lato" w:cs="Lato" w:eastAsia="Lato" w:hAnsi="Lato"/>
          <w:color w:val="1A1A1A"/>
          <w:sz w:val="22"/>
          <w:szCs w:val="22"/>
        </w:rPr>
        <w:t xml:space="preserve">Bonding is waived in favor of Professional Liability / E&amp;O insurance.</w:t>
      </w:r>
    </w:p>
    <w:p>
      <w:pPr>
        <w:pStyle w:val="ListParagraph"/>
        <w:numPr>
          <w:ilvl w:val="0"/>
          <w:numId w:val="2"/>
        </w:numPr>
        <w:spacing w:after="60" w:before="40" w:line="290"/>
      </w:pPr>
      <w:r>
        <w:rPr>
          <w:rFonts w:ascii="Lato" w:cs="Lato" w:eastAsia="Lato" w:hAnsi="Lato"/>
          <w:color w:val="1A1A1A"/>
          <w:sz w:val="22"/>
          <w:szCs w:val="22"/>
        </w:rPr>
        <w:t xml:space="preserve">Multi-year terms with annual performance review are common.</w:t>
      </w:r>
    </w:p>
    <w:p>
      <w:pPr>
        <w:pStyle w:val="ListParagraph"/>
        <w:numPr>
          <w:ilvl w:val="0"/>
          <w:numId w:val="2"/>
        </w:numPr>
        <w:spacing w:after="60" w:before="40" w:line="290"/>
      </w:pPr>
      <w:r>
        <w:rPr>
          <w:rFonts w:ascii="Lato" w:cs="Lato" w:eastAsia="Lato" w:hAnsi="Lato"/>
          <w:color w:val="1A1A1A"/>
          <w:sz w:val="22"/>
          <w:szCs w:val="22"/>
        </w:rPr>
        <w:t xml:space="preserve">Termination for convenience: 60 days’ notice, reflecting transition complexity.</w:t>
      </w:r>
    </w:p>
    <w:p>
      <w:pPr>
        <w:pStyle w:val="ListParagraph"/>
        <w:numPr>
          <w:ilvl w:val="0"/>
          <w:numId w:val="2"/>
        </w:numPr>
        <w:spacing w:after="60" w:before="40" w:line="290"/>
      </w:pPr>
      <w:r>
        <w:rPr>
          <w:rFonts w:ascii="Lato" w:cs="Lato" w:eastAsia="Lato" w:hAnsi="Lato"/>
          <w:color w:val="1A1A1A"/>
          <w:sz w:val="22"/>
          <w:szCs w:val="22"/>
        </w:rPr>
        <w:t xml:space="preserve">Florida condominium management contracts: confirm compliance with Fla. Stat. § 718.3025 (Agreements for the operation, maintenance, or management) — specific content requirements apply.</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MIXED PROJECTS</w:t>
            </w:r>
          </w:p>
          <w:p>
            <w:pPr>
              <w:spacing w:after="0" w:before="0" w:line="300"/>
              <w:jc w:val="left"/>
            </w:pPr>
            <w:r>
              <w:rPr>
                <w:rFonts w:ascii="Lato" w:cs="Lato" w:eastAsia="Lato" w:hAnsi="Lato"/>
                <w:color w:val="1A1A1A"/>
                <w:sz w:val="22"/>
                <w:szCs w:val="22"/>
              </w:rPr>
              <w:t xml:space="preserve">Some projects mix capital and professional services — a building envelope assessment plus the resulting capital work, for instance, or a transition from developer control that involves both reserve-study advisory and management services. Issue separate RFPs for the assessment / advisory phase and the construction / operational phase, with the assessment vendor disqualified from bidding the construction. This separation protects the integrity of the assessment and avoids conflict-of-interest exposure.</w:t>
            </w:r>
          </w:p>
        </w:tc>
      </w:tr>
    </w:tbl>
    <w:p>
      <w:r>
        <w:br w:type="page"/>
      </w:r>
    </w:p>
    <w:p>
      <w:pPr>
        <w:spacing w:after="60" w:before="0"/>
      </w:pPr>
      <w:r>
        <w:rPr>
          <w:rFonts w:ascii="Lato" w:cs="Lato" w:eastAsia="Lato" w:hAnsi="Lato"/>
          <w:b/>
          <w:bCs/>
          <w:color w:val="C9A24A"/>
          <w:spacing w:val="100"/>
          <w:sz w:val="16"/>
          <w:szCs w:val="16"/>
        </w:rPr>
        <w:t xml:space="preserve">THE PROCESS</w:t>
      </w:r>
    </w:p>
    <w:p>
      <w:pPr>
        <w:pStyle w:val="Heading1"/>
        <w:spacing w:after="160" w:before="280"/>
      </w:pPr>
      <w:r>
        <w:rPr>
          <w:rFonts w:ascii="Garamond" w:cs="Garamond" w:eastAsia="Garamond" w:hAnsi="Garamond"/>
          <w:b/>
          <w:bCs/>
          <w:color w:val="173F35"/>
          <w:sz w:val="40"/>
          <w:szCs w:val="40"/>
        </w:rPr>
        <w:t xml:space="preserve">A Nine-Step Path for Tier 3–4</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Tier 3–4 RFPs warrant a longer, more structured process than Tier 1–2. Use this sequence as a checklist; each step ties to a section of the Template.</w:t>
      </w:r>
    </w:p>
    <w:p>
      <w:pPr>
        <w:pStyle w:val="ListParagraph"/>
        <w:numPr>
          <w:ilvl w:val="0"/>
          <w:numId w:val="3"/>
        </w:numPr>
        <w:spacing w:after="100" w:before="60" w:line="300"/>
      </w:pPr>
      <w:r>
        <w:rPr>
          <w:rFonts w:ascii="Lato" w:cs="Lato" w:eastAsia="Lato" w:hAnsi="Lato"/>
          <w:color w:val="1A1A1A"/>
          <w:sz w:val="22"/>
          <w:szCs w:val="22"/>
        </w:rPr>
        <w:t xml:space="preserve">Confirm the budget, funding source, and authority. Reserve-funded capital work requires the line item in the current reserve study; operating-fund work requires the budget line; loan- or special-assessment-funded work requires member action under the governing documents. Confirm the Board has authority to award without member vote.</w:t>
      </w:r>
    </w:p>
    <w:p>
      <w:pPr>
        <w:pStyle w:val="ListParagraph"/>
        <w:numPr>
          <w:ilvl w:val="0"/>
          <w:numId w:val="3"/>
        </w:numPr>
        <w:spacing w:after="100" w:before="60" w:line="300"/>
      </w:pPr>
      <w:r>
        <w:rPr>
          <w:rFonts w:ascii="Lato" w:cs="Lato" w:eastAsia="Lato" w:hAnsi="Lato"/>
          <w:color w:val="1A1A1A"/>
          <w:sz w:val="22"/>
          <w:szCs w:val="22"/>
        </w:rPr>
        <w:t xml:space="preserve">Tie the scope to a written source. For capital, the reserve study or engineering report; for services, a formal scope document developed by the Board or Manager. Underlying documents are attached to the RFP as Attachment A.</w:t>
      </w:r>
    </w:p>
    <w:p>
      <w:pPr>
        <w:pStyle w:val="ListParagraph"/>
        <w:numPr>
          <w:ilvl w:val="0"/>
          <w:numId w:val="3"/>
        </w:numPr>
        <w:spacing w:after="100" w:before="60" w:line="300"/>
      </w:pPr>
      <w:r>
        <w:rPr>
          <w:rFonts w:ascii="Lato" w:cs="Lato" w:eastAsia="Lato" w:hAnsi="Lato"/>
          <w:color w:val="1A1A1A"/>
          <w:sz w:val="22"/>
          <w:szCs w:val="22"/>
        </w:rPr>
        <w:t xml:space="preserve">Pre-qualify (capital projects). For capital above the Association’s threshold, run a 14–21 day pre-qualification cycle. Confirm bonding capacity, financial strength, state licensing, OSHA EMR, and similar-scope references before issuing the full RFP.</w:t>
      </w:r>
    </w:p>
    <w:p>
      <w:pPr>
        <w:pStyle w:val="ListParagraph"/>
        <w:numPr>
          <w:ilvl w:val="0"/>
          <w:numId w:val="3"/>
        </w:numPr>
        <w:spacing w:after="100" w:before="60" w:line="300"/>
      </w:pPr>
      <w:r>
        <w:rPr>
          <w:rFonts w:ascii="Lato" w:cs="Lato" w:eastAsia="Lato" w:hAnsi="Lato"/>
          <w:color w:val="1A1A1A"/>
          <w:sz w:val="22"/>
          <w:szCs w:val="22"/>
        </w:rPr>
        <w:t xml:space="preserve">Source pre-qualified bidders. Five (5) qualified bidders is the practical target for capital; three (3) for professional services. Pre-qualified status is not a guarantee of award but a gate to receive the RFP.</w:t>
      </w:r>
    </w:p>
    <w:p>
      <w:pPr>
        <w:pStyle w:val="ListParagraph"/>
        <w:numPr>
          <w:ilvl w:val="0"/>
          <w:numId w:val="3"/>
        </w:numPr>
        <w:spacing w:after="100" w:before="60" w:line="300"/>
      </w:pPr>
      <w:r>
        <w:rPr>
          <w:rFonts w:ascii="Lato" w:cs="Lato" w:eastAsia="Lato" w:hAnsi="Lato"/>
          <w:color w:val="1A1A1A"/>
          <w:sz w:val="22"/>
          <w:szCs w:val="22"/>
        </w:rPr>
        <w:t xml:space="preserve">Issue the RFP and run a 60–120 day calendar. Include a two-round Q&amp;A, a mandatory site walk / kickoff, and a Best and Final Offer window.</w:t>
      </w:r>
    </w:p>
    <w:p>
      <w:pPr>
        <w:pStyle w:val="ListParagraph"/>
        <w:numPr>
          <w:ilvl w:val="0"/>
          <w:numId w:val="3"/>
        </w:numPr>
        <w:spacing w:after="100" w:before="60" w:line="300"/>
      </w:pPr>
      <w:r>
        <w:rPr>
          <w:rFonts w:ascii="Lato" w:cs="Lato" w:eastAsia="Lato" w:hAnsi="Lato"/>
          <w:color w:val="1A1A1A"/>
          <w:sz w:val="22"/>
          <w:szCs w:val="22"/>
        </w:rPr>
        <w:t xml:space="preserve">Run structured vendor presentations. Shortlist two or three top-scoring bidders after written-proposal evaluation. Allow 45–60 minutes per bidder. Score the presentation as a separate criterion (5–10% of total).</w:t>
      </w:r>
    </w:p>
    <w:p>
      <w:pPr>
        <w:pStyle w:val="ListParagraph"/>
        <w:numPr>
          <w:ilvl w:val="0"/>
          <w:numId w:val="3"/>
        </w:numPr>
        <w:spacing w:after="100" w:before="60" w:line="300"/>
      </w:pPr>
      <w:r>
        <w:rPr>
          <w:rFonts w:ascii="Lato" w:cs="Lato" w:eastAsia="Lato" w:hAnsi="Lato"/>
          <w:color w:val="1A1A1A"/>
          <w:sz w:val="22"/>
          <w:szCs w:val="22"/>
        </w:rPr>
        <w:t xml:space="preserve">Conduct BAFO. After presentations, request Best and Final Offers on a uniform basis. BAFOs address only price and any open clarifications, not scope changes.</w:t>
      </w:r>
    </w:p>
    <w:p>
      <w:pPr>
        <w:pStyle w:val="ListParagraph"/>
        <w:numPr>
          <w:ilvl w:val="0"/>
          <w:numId w:val="3"/>
        </w:numPr>
        <w:spacing w:after="100" w:before="60" w:line="300"/>
      </w:pPr>
      <w:r>
        <w:rPr>
          <w:rFonts w:ascii="Lato" w:cs="Lato" w:eastAsia="Lato" w:hAnsi="Lato"/>
          <w:color w:val="1A1A1A"/>
          <w:sz w:val="22"/>
          <w:szCs w:val="22"/>
        </w:rPr>
        <w:t xml:space="preserve">Award and negotiate. Issue a written Notice of Intent to Award. Allow 14–30 days for contract negotiation with counsel involved from day one.</w:t>
      </w:r>
    </w:p>
    <w:p>
      <w:pPr>
        <w:pStyle w:val="ListParagraph"/>
        <w:numPr>
          <w:ilvl w:val="0"/>
          <w:numId w:val="3"/>
        </w:numPr>
        <w:spacing w:after="100" w:before="60" w:line="300"/>
      </w:pPr>
      <w:r>
        <w:rPr>
          <w:rFonts w:ascii="Lato" w:cs="Lato" w:eastAsia="Lato" w:hAnsi="Lato"/>
          <w:color w:val="1A1A1A"/>
          <w:sz w:val="22"/>
          <w:szCs w:val="22"/>
        </w:rPr>
        <w:t xml:space="preserve">Execute and mobilize. Execute the contract (AIA or CIC-SC Construction Contract for capital; Professional Services Agreement for services). Confirm bonds, insurance certificates, and any required permits before mobilization.</w:t>
      </w:r>
    </w:p>
    <w:p>
      <w:r>
        <w:br w:type="page"/>
      </w:r>
    </w:p>
    <w:p>
      <w:pPr>
        <w:spacing w:after="60" w:before="0"/>
      </w:pPr>
      <w:r>
        <w:rPr>
          <w:rFonts w:ascii="Lato" w:cs="Lato" w:eastAsia="Lato" w:hAnsi="Lato"/>
          <w:b/>
          <w:bCs/>
          <w:color w:val="C9A24A"/>
          <w:spacing w:val="100"/>
          <w:sz w:val="16"/>
          <w:szCs w:val="16"/>
        </w:rPr>
        <w:t xml:space="preserve">EVALUATION</w:t>
      </w:r>
    </w:p>
    <w:p>
      <w:pPr>
        <w:pStyle w:val="Heading1"/>
        <w:spacing w:after="160" w:before="280"/>
      </w:pPr>
      <w:r>
        <w:rPr>
          <w:rFonts w:ascii="Garamond" w:cs="Garamond" w:eastAsia="Garamond" w:hAnsi="Garamond"/>
          <w:b/>
          <w:bCs/>
          <w:color w:val="173F35"/>
          <w:sz w:val="40"/>
          <w:szCs w:val="40"/>
        </w:rPr>
        <w:t xml:space="preserve">How Tier 3–4 Evaluation Differs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The CIC-SC Comparative Proposal Evaluation Worksheet adapts cleanly to Tier 3–4 with two adjustments: lower price weight (typically 20% for capital base bid, 10–15% for professional services) and additional criteria for bonding, key personnel, and (if used) presentation scoring.</w:t>
      </w:r>
    </w:p>
    <w:p>
      <w:pPr>
        <w:pStyle w:val="Heading3"/>
        <w:spacing w:after="160" w:before="280"/>
      </w:pPr>
      <w:r>
        <w:rPr>
          <w:rFonts w:ascii="Garamond" w:cs="Garamond" w:eastAsia="Garamond" w:hAnsi="Garamond"/>
          <w:b/>
          <w:bCs/>
          <w:color w:val="173F35"/>
          <w:sz w:val="26"/>
          <w:szCs w:val="26"/>
        </w:rPr>
        <w:t xml:space="preserve">Adjusted default weights</w:t>
      </w:r>
    </w:p>
    <w:p>
      <w:pPr>
        <w:pStyle w:val="ListParagraph"/>
        <w:numPr>
          <w:ilvl w:val="0"/>
          <w:numId w:val="2"/>
        </w:numPr>
        <w:spacing w:after="60" w:before="40" w:line="290"/>
      </w:pPr>
      <w:r>
        <w:rPr>
          <w:rFonts w:ascii="Lato" w:cs="Lato" w:eastAsia="Lato" w:hAnsi="Lato"/>
          <w:b/>
          <w:bCs/>
          <w:color w:val="173F35"/>
          <w:sz w:val="22"/>
          <w:szCs w:val="22"/>
        </w:rPr>
        <w:t xml:space="preserve">Past Performance &amp; References — 20%  </w:t>
      </w:r>
    </w:p>
    <w:p>
      <w:pPr>
        <w:pStyle w:val="ListParagraph"/>
        <w:numPr>
          <w:ilvl w:val="0"/>
          <w:numId w:val="2"/>
        </w:numPr>
        <w:spacing w:after="60" w:before="40" w:line="290"/>
      </w:pPr>
      <w:r>
        <w:rPr>
          <w:rFonts w:ascii="Lato" w:cs="Lato" w:eastAsia="Lato" w:hAnsi="Lato"/>
          <w:b/>
          <w:bCs/>
          <w:color w:val="173F35"/>
          <w:sz w:val="22"/>
          <w:szCs w:val="22"/>
        </w:rPr>
        <w:t xml:space="preserve">Key Personnel &amp; Team Depth — 15%  </w:t>
      </w:r>
    </w:p>
    <w:p>
      <w:pPr>
        <w:pStyle w:val="ListParagraph"/>
        <w:numPr>
          <w:ilvl w:val="0"/>
          <w:numId w:val="2"/>
        </w:numPr>
        <w:spacing w:after="60" w:before="40" w:line="290"/>
      </w:pPr>
      <w:r>
        <w:rPr>
          <w:rFonts w:ascii="Lato" w:cs="Lato" w:eastAsia="Lato" w:hAnsi="Lato"/>
          <w:b/>
          <w:bCs/>
          <w:color w:val="173F35"/>
          <w:sz w:val="22"/>
          <w:szCs w:val="22"/>
        </w:rPr>
        <w:t xml:space="preserve">Technical Approach &amp; Schedule — 15%  </w:t>
      </w:r>
    </w:p>
    <w:p>
      <w:pPr>
        <w:pStyle w:val="ListParagraph"/>
        <w:numPr>
          <w:ilvl w:val="0"/>
          <w:numId w:val="2"/>
        </w:numPr>
        <w:spacing w:after="60" w:before="40" w:line="290"/>
      </w:pPr>
      <w:r>
        <w:rPr>
          <w:rFonts w:ascii="Lato" w:cs="Lato" w:eastAsia="Lato" w:hAnsi="Lato"/>
          <w:b/>
          <w:bCs/>
          <w:color w:val="173F35"/>
          <w:sz w:val="22"/>
          <w:szCs w:val="22"/>
        </w:rPr>
        <w:t xml:space="preserve">Pricing — Base Bid — 20%  </w:t>
      </w:r>
    </w:p>
    <w:p>
      <w:pPr>
        <w:pStyle w:val="ListParagraph"/>
        <w:numPr>
          <w:ilvl w:val="0"/>
          <w:numId w:val="2"/>
        </w:numPr>
        <w:spacing w:after="60" w:before="40" w:line="290"/>
      </w:pPr>
      <w:r>
        <w:rPr>
          <w:rFonts w:ascii="Lato" w:cs="Lato" w:eastAsia="Lato" w:hAnsi="Lato"/>
          <w:b/>
          <w:bCs/>
          <w:color w:val="173F35"/>
          <w:sz w:val="22"/>
          <w:szCs w:val="22"/>
        </w:rPr>
        <w:t xml:space="preserve">Pricing — Allowances &amp; Alternates — 10%  </w:t>
      </w:r>
    </w:p>
    <w:p>
      <w:pPr>
        <w:pStyle w:val="ListParagraph"/>
        <w:numPr>
          <w:ilvl w:val="0"/>
          <w:numId w:val="2"/>
        </w:numPr>
        <w:spacing w:after="60" w:before="40" w:line="290"/>
      </w:pPr>
      <w:r>
        <w:rPr>
          <w:rFonts w:ascii="Lato" w:cs="Lato" w:eastAsia="Lato" w:hAnsi="Lato"/>
          <w:b/>
          <w:bCs/>
          <w:color w:val="173F35"/>
          <w:sz w:val="22"/>
          <w:szCs w:val="22"/>
        </w:rPr>
        <w:t xml:space="preserve">Bonding &amp; Financial Strength — 10%  </w:t>
      </w:r>
    </w:p>
    <w:p>
      <w:pPr>
        <w:pStyle w:val="ListParagraph"/>
        <w:numPr>
          <w:ilvl w:val="0"/>
          <w:numId w:val="2"/>
        </w:numPr>
        <w:spacing w:after="60" w:before="40" w:line="290"/>
      </w:pPr>
      <w:r>
        <w:rPr>
          <w:rFonts w:ascii="Lato" w:cs="Lato" w:eastAsia="Lato" w:hAnsi="Lato"/>
          <w:b/>
          <w:bCs/>
          <w:color w:val="173F35"/>
          <w:sz w:val="22"/>
          <w:szCs w:val="22"/>
        </w:rPr>
        <w:t xml:space="preserve">Quality, Safety &amp; Risk Management — 5%  </w:t>
      </w:r>
    </w:p>
    <w:p>
      <w:pPr>
        <w:pStyle w:val="ListParagraph"/>
        <w:numPr>
          <w:ilvl w:val="0"/>
          <w:numId w:val="2"/>
        </w:numPr>
        <w:spacing w:after="60" w:before="40" w:line="290"/>
      </w:pPr>
      <w:r>
        <w:rPr>
          <w:rFonts w:ascii="Lato" w:cs="Lato" w:eastAsia="Lato" w:hAnsi="Lato"/>
          <w:b/>
          <w:bCs/>
          <w:color w:val="173F35"/>
          <w:sz w:val="22"/>
          <w:szCs w:val="22"/>
        </w:rPr>
        <w:t xml:space="preserve">Local Presence &amp; Reputation — 5%  </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WHY PRICE WEIGHS LESS</w:t>
            </w:r>
          </w:p>
          <w:p>
            <w:pPr>
              <w:spacing w:after="0" w:before="0" w:line="300"/>
              <w:jc w:val="left"/>
            </w:pPr>
            <w:r>
              <w:rPr>
                <w:rFonts w:ascii="Lato" w:cs="Lato" w:eastAsia="Lato" w:hAnsi="Lato"/>
                <w:color w:val="1A1A1A"/>
                <w:sz w:val="22"/>
                <w:szCs w:val="22"/>
              </w:rPr>
              <w:t xml:space="preserve">A 2-point price advantage on a $1.5M roof against a 3-point references / approach disadvantage is a poor trade. Tier 3–4 awards are about getting the right vendor more than getting the cheapest one. Price discipline still matters — bidders must be technically acceptable and the comparison apples-to-apples — but the rubric reflects what experienced boards already know: the cheapest qualified bidder on a large capital project is rarely the right one.</w:t>
            </w:r>
          </w:p>
        </w:tc>
      </w:tr>
    </w:tbl>
    <w:p>
      <w:r>
        <w:br w:type="page"/>
      </w:r>
    </w:p>
    <w:p>
      <w:pPr>
        <w:spacing w:after="60" w:before="0"/>
      </w:pPr>
      <w:r>
        <w:rPr>
          <w:rFonts w:ascii="Lato" w:cs="Lato" w:eastAsia="Lato" w:hAnsi="Lato"/>
          <w:b/>
          <w:bCs/>
          <w:color w:val="C9A24A"/>
          <w:spacing w:val="100"/>
          <w:sz w:val="16"/>
          <w:szCs w:val="16"/>
        </w:rPr>
        <w:t xml:space="preserve">COMMON MISTAKES</w:t>
      </w:r>
    </w:p>
    <w:p>
      <w:pPr>
        <w:pStyle w:val="Heading1"/>
        <w:spacing w:after="160" w:before="280"/>
      </w:pPr>
      <w:r>
        <w:rPr>
          <w:rFonts w:ascii="Garamond" w:cs="Garamond" w:eastAsia="Garamond" w:hAnsi="Garamond"/>
          <w:b/>
          <w:bCs/>
          <w:color w:val="173F35"/>
          <w:sz w:val="40"/>
          <w:szCs w:val="40"/>
        </w:rPr>
        <w:t xml:space="preserve">Pitfalls to Avoid</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1 — UNDER-SCOPING THE WORK</w:t>
            </w:r>
          </w:p>
          <w:p>
            <w:pPr>
              <w:spacing w:after="0" w:before="0" w:line="300"/>
              <w:jc w:val="left"/>
            </w:pPr>
            <w:r>
              <w:rPr>
                <w:rFonts w:ascii="Lato" w:cs="Lato" w:eastAsia="Lato" w:hAnsi="Lato"/>
                <w:color w:val="1A1A1A"/>
                <w:sz w:val="22"/>
                <w:szCs w:val="22"/>
              </w:rPr>
              <w:t xml:space="preserve">Tier 3–4 scope is harder to write than Tier 1–2 scope. A vague Section 4.1 produces low base bids and high change-order rates. Engage the engineer / architect / consultant who developed the underlying documents to review the scope before issuance.</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2 — SKIPPING PRE-QUALIFICATION</w:t>
            </w:r>
          </w:p>
          <w:p>
            <w:pPr>
              <w:spacing w:after="0" w:before="0" w:line="300"/>
              <w:jc w:val="left"/>
            </w:pPr>
            <w:r>
              <w:rPr>
                <w:rFonts w:ascii="Lato" w:cs="Lato" w:eastAsia="Lato" w:hAnsi="Lato"/>
                <w:color w:val="1A1A1A"/>
                <w:sz w:val="22"/>
                <w:szCs w:val="22"/>
              </w:rPr>
              <w:t xml:space="preserve">On capital projects above $250k, skipping pre-qualification means evaluating proposals from vendors that cannot bond the project. Discover that fact at award and the second-place bidder may not be available either. Pre-qualify first.</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3 — WAIVING BONDING CASUALLY</w:t>
            </w:r>
          </w:p>
          <w:p>
            <w:pPr>
              <w:spacing w:after="0" w:before="0" w:line="300"/>
              <w:jc w:val="left"/>
            </w:pPr>
            <w:r>
              <w:rPr>
                <w:rFonts w:ascii="Lato" w:cs="Lato" w:eastAsia="Lato" w:hAnsi="Lato"/>
                <w:color w:val="1A1A1A"/>
                <w:sz w:val="22"/>
                <w:szCs w:val="22"/>
              </w:rPr>
              <w:t xml:space="preserve">Bonding is the Association’s protection against vendor default on a half-built project. Waivers should be rare, deliberate, board-voted, and documented in the minutes — not handled informally with longstanding vendors. The cost of bonding is a fraction of the cost of a half-finished project.</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4 — LETTING THE ENGINEER ALSO BID THE WORK</w:t>
            </w:r>
          </w:p>
          <w:p>
            <w:pPr>
              <w:spacing w:after="0" w:before="0" w:line="300"/>
              <w:jc w:val="left"/>
            </w:pPr>
            <w:r>
              <w:rPr>
                <w:rFonts w:ascii="Lato" w:cs="Lato" w:eastAsia="Lato" w:hAnsi="Lato"/>
                <w:color w:val="1A1A1A"/>
                <w:sz w:val="22"/>
                <w:szCs w:val="22"/>
              </w:rPr>
              <w:t xml:space="preserve">Conflict of interest. The engineer who scoped the work should not bid the work; if they do, expect higher base bids and reduced scope discipline. Run the assessment and construction RFPs separately.</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5 — SIGNING THE VENDOR’S CONTRACT FORM ON A CAPITAL PROJECT</w:t>
            </w:r>
          </w:p>
          <w:p>
            <w:pPr>
              <w:spacing w:after="0" w:before="0" w:line="300"/>
              <w:jc w:val="left"/>
            </w:pPr>
            <w:r>
              <w:rPr>
                <w:rFonts w:ascii="Lato" w:cs="Lato" w:eastAsia="Lato" w:hAnsi="Lato"/>
                <w:color w:val="1A1A1A"/>
                <w:sz w:val="22"/>
                <w:szCs w:val="22"/>
              </w:rPr>
              <w:t xml:space="preserve">Vendor-favored capital contracts will reduce retainage, narrow indemnity, lengthen cure periods, and limit liability. Use AIA forms (A101 / A201) or the CIC-SC Construction Contract with Association-specific riders. Counsel-drafted, not vendor-supplied.</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6 — MISSING FLORIDA § 718.3025 MANAGEMENT CONTENT</w:t>
            </w:r>
          </w:p>
          <w:p>
            <w:pPr>
              <w:spacing w:after="0" w:before="0" w:line="300"/>
              <w:jc w:val="left"/>
            </w:pPr>
            <w:r>
              <w:rPr>
                <w:rFonts w:ascii="Lato" w:cs="Lato" w:eastAsia="Lato" w:hAnsi="Lato"/>
                <w:color w:val="1A1A1A"/>
                <w:sz w:val="22"/>
                <w:szCs w:val="22"/>
              </w:rPr>
              <w:t xml:space="preserve">Florida condominium management contracts have statutory content requirements that vendor-supplied agreements often miss. Confirm Fla. Stat. § 718.3025 compliance with counsel before signature; ask the vendor to use the Association’s form rather than its own.</w:t>
            </w:r>
          </w:p>
        </w:tc>
      </w:tr>
    </w:tbl>
    <w:p>
      <w:r>
        <w:br w:type="page"/>
      </w:r>
    </w:p>
    <w:p>
      <w:pPr>
        <w:spacing w:after="60" w:before="0"/>
      </w:pPr>
      <w:r>
        <w:rPr>
          <w:rFonts w:ascii="Lato" w:cs="Lato" w:eastAsia="Lato" w:hAnsi="Lato"/>
          <w:b/>
          <w:bCs/>
          <w:color w:val="C9A24A"/>
          <w:spacing w:val="100"/>
          <w:sz w:val="16"/>
          <w:szCs w:val="16"/>
        </w:rPr>
        <w:t xml:space="preserve">FREQUENTLY ASKED QUESTIONS</w:t>
      </w:r>
    </w:p>
    <w:p>
      <w:pPr>
        <w:pStyle w:val="Heading1"/>
        <w:spacing w:after="160" w:before="280"/>
      </w:pPr>
      <w:r>
        <w:rPr>
          <w:rFonts w:ascii="Garamond" w:cs="Garamond" w:eastAsia="Garamond" w:hAnsi="Garamond"/>
          <w:b/>
          <w:bCs/>
          <w:color w:val="173F35"/>
          <w:sz w:val="40"/>
          <w:szCs w:val="40"/>
        </w:rPr>
        <w:t xml:space="preserve">FAQs</w:t>
      </w:r>
    </w:p>
    <w:p>
      <w:pPr>
        <w:pBdr>
          <w:bottom w:val="single" w:color="C9A24A" w:sz="8" w:space="1"/>
        </w:pBdr>
        <w:spacing w:after="120" w:before="80"/>
      </w:pPr>
      <w:r>
        <w:t xml:space="preserve"/>
      </w:r>
    </w:p>
    <w:p>
      <w:pPr>
        <w:spacing w:after="60" w:before="200"/>
      </w:pPr>
      <w:r>
        <w:rPr>
          <w:rFonts w:ascii="Garamond" w:cs="Garamond" w:eastAsia="Garamond" w:hAnsi="Garamond"/>
          <w:b/>
          <w:bCs/>
          <w:color w:val="173F35"/>
          <w:sz w:val="26"/>
          <w:szCs w:val="26"/>
        </w:rPr>
        <w:t xml:space="preserve">How many bidders for a Tier 3–4 RFP?</w:t>
      </w:r>
    </w:p>
    <w:p>
      <w:pPr>
        <w:spacing w:after="0" w:before="0" w:line="320"/>
        <w:jc w:val="left"/>
      </w:pPr>
      <w:r>
        <w:rPr>
          <w:rFonts w:ascii="Lato" w:cs="Lato" w:eastAsia="Lato" w:hAnsi="Lato"/>
          <w:color w:val="1A1A1A"/>
          <w:sz w:val="22"/>
          <w:szCs w:val="22"/>
        </w:rPr>
        <w:t xml:space="preserve">Five (5) pre-qualified bidders for capital projects; three (3) for professional services. More than five rarely improves the comparison and burdens both sides.</w:t>
      </w:r>
    </w:p>
    <w:p>
      <w:pPr>
        <w:spacing w:after="60" w:before="200"/>
      </w:pPr>
      <w:r>
        <w:rPr>
          <w:rFonts w:ascii="Garamond" w:cs="Garamond" w:eastAsia="Garamond" w:hAnsi="Garamond"/>
          <w:b/>
          <w:bCs/>
          <w:color w:val="173F35"/>
          <w:sz w:val="26"/>
          <w:szCs w:val="26"/>
        </w:rPr>
        <w:t xml:space="preserve">What if no vendor will bond the project?</w:t>
      </w:r>
    </w:p>
    <w:p>
      <w:pPr>
        <w:spacing w:after="0" w:before="0" w:line="320"/>
        <w:jc w:val="left"/>
      </w:pPr>
      <w:r>
        <w:rPr>
          <w:rFonts w:ascii="Lato" w:cs="Lato" w:eastAsia="Lato" w:hAnsi="Lato"/>
          <w:color w:val="1A1A1A"/>
          <w:sz w:val="22"/>
          <w:szCs w:val="22"/>
        </w:rPr>
        <w:t xml:space="preserve">Re-examine the project value and scope. If the project value exceeds local market bonding capacity for the relevant trade, consider breaking the project into phases or using construction management at risk (CMAR) with a CM that has the capacity.</w:t>
      </w:r>
    </w:p>
    <w:p>
      <w:pPr>
        <w:spacing w:after="60" w:before="200"/>
      </w:pPr>
      <w:r>
        <w:rPr>
          <w:rFonts w:ascii="Garamond" w:cs="Garamond" w:eastAsia="Garamond" w:hAnsi="Garamond"/>
          <w:b/>
          <w:bCs/>
          <w:color w:val="173F35"/>
          <w:sz w:val="26"/>
          <w:szCs w:val="26"/>
        </w:rPr>
        <w:t xml:space="preserve">Can we award without pre-qualifying?</w:t>
      </w:r>
    </w:p>
    <w:p>
      <w:pPr>
        <w:spacing w:after="0" w:before="0" w:line="320"/>
        <w:jc w:val="left"/>
      </w:pPr>
      <w:r>
        <w:rPr>
          <w:rFonts w:ascii="Lato" w:cs="Lato" w:eastAsia="Lato" w:hAnsi="Lato"/>
          <w:color w:val="1A1A1A"/>
          <w:sz w:val="22"/>
          <w:szCs w:val="22"/>
        </w:rPr>
        <w:t xml:space="preserve">On capital projects below the Association’s pre-qualification threshold, yes. Above the threshold, pre-qualification is strongly recommended. If skipped, document the decision in the minutes.</w:t>
      </w:r>
    </w:p>
    <w:p>
      <w:pPr>
        <w:spacing w:after="60" w:before="200"/>
      </w:pPr>
      <w:r>
        <w:rPr>
          <w:rFonts w:ascii="Garamond" w:cs="Garamond" w:eastAsia="Garamond" w:hAnsi="Garamond"/>
          <w:b/>
          <w:bCs/>
          <w:color w:val="173F35"/>
          <w:sz w:val="26"/>
          <w:szCs w:val="26"/>
        </w:rPr>
        <w:t xml:space="preserve">How is retainage handled?</w:t>
      </w:r>
    </w:p>
    <w:p>
      <w:pPr>
        <w:spacing w:after="0" w:before="0" w:line="320"/>
        <w:jc w:val="left"/>
      </w:pPr>
      <w:r>
        <w:rPr>
          <w:rFonts w:ascii="Lato" w:cs="Lato" w:eastAsia="Lato" w:hAnsi="Lato"/>
          <w:color w:val="1A1A1A"/>
          <w:sz w:val="22"/>
          <w:szCs w:val="22"/>
        </w:rPr>
        <w:t xml:space="preserve">Standard 5–10% retainage on each monthly draw, held until Substantial Completion (or Final Completion for the final retainage). Released on receipt of final lien waivers and warranty documentation.</w:t>
      </w:r>
    </w:p>
    <w:p>
      <w:pPr>
        <w:spacing w:after="60" w:before="200"/>
      </w:pPr>
      <w:r>
        <w:rPr>
          <w:rFonts w:ascii="Garamond" w:cs="Garamond" w:eastAsia="Garamond" w:hAnsi="Garamond"/>
          <w:b/>
          <w:bCs/>
          <w:color w:val="173F35"/>
          <w:sz w:val="26"/>
          <w:szCs w:val="26"/>
        </w:rPr>
        <w:t xml:space="preserve">When are liquidated damages appropriate?</w:t>
      </w:r>
    </w:p>
    <w:p>
      <w:pPr>
        <w:spacing w:after="0" w:before="0" w:line="320"/>
        <w:jc w:val="left"/>
      </w:pPr>
      <w:r>
        <w:rPr>
          <w:rFonts w:ascii="Lato" w:cs="Lato" w:eastAsia="Lato" w:hAnsi="Lato"/>
          <w:color w:val="1A1A1A"/>
          <w:sz w:val="22"/>
          <w:szCs w:val="22"/>
        </w:rPr>
        <w:t xml:space="preserve">When time genuinely matters — paving before season, roofing before hurricane season, occupancy-related work. The LD amount must be reasonable in relation to actual anticipated damages; counsel review required for enforceability.</w:t>
      </w:r>
    </w:p>
    <w:p>
      <w:pPr>
        <w:spacing w:after="60" w:before="200"/>
      </w:pPr>
      <w:r>
        <w:rPr>
          <w:rFonts w:ascii="Garamond" w:cs="Garamond" w:eastAsia="Garamond" w:hAnsi="Garamond"/>
          <w:b/>
          <w:bCs/>
          <w:color w:val="173F35"/>
          <w:sz w:val="26"/>
          <w:szCs w:val="26"/>
        </w:rPr>
        <w:t xml:space="preserve">Can the manager sign the construction contract?</w:t>
      </w:r>
    </w:p>
    <w:p>
      <w:pPr>
        <w:spacing w:after="0" w:before="0" w:line="320"/>
        <w:jc w:val="left"/>
      </w:pPr>
      <w:r>
        <w:rPr>
          <w:rFonts w:ascii="Lato" w:cs="Lato" w:eastAsia="Lato" w:hAnsi="Lato"/>
          <w:color w:val="1A1A1A"/>
          <w:sz w:val="22"/>
          <w:szCs w:val="22"/>
        </w:rPr>
        <w:t xml:space="preserve">Generally no for capital projects above a Board-set threshold. The Board President (or another officer specifically authorized in the minutes) signs. The Manager may countersign as a witness.</w:t>
      </w:r>
    </w:p>
    <w:p>
      <w:pPr>
        <w:spacing w:after="60" w:before="200"/>
      </w:pPr>
      <w:r>
        <w:rPr>
          <w:rFonts w:ascii="Garamond" w:cs="Garamond" w:eastAsia="Garamond" w:hAnsi="Garamond"/>
          <w:b/>
          <w:bCs/>
          <w:color w:val="173F35"/>
          <w:sz w:val="26"/>
          <w:szCs w:val="26"/>
        </w:rPr>
        <w:t xml:space="preserve">What if scope changes during construction?</w:t>
      </w:r>
    </w:p>
    <w:p>
      <w:pPr>
        <w:spacing w:after="0" w:before="0" w:line="320"/>
        <w:jc w:val="left"/>
      </w:pPr>
      <w:r>
        <w:rPr>
          <w:rFonts w:ascii="Lato" w:cs="Lato" w:eastAsia="Lato" w:hAnsi="Lato"/>
          <w:color w:val="1A1A1A"/>
          <w:sz w:val="22"/>
          <w:szCs w:val="22"/>
        </w:rPr>
        <w:t xml:space="preserve">Written change order, signed in advance by the Board President or a designated officer with delegated authority for change orders below a Board-set threshold. Never authorize change-order work verbally.</w:t>
      </w:r>
    </w:p>
    <w:p>
      <w:pPr>
        <w:spacing w:after="60" w:before="200"/>
      </w:pPr>
      <w:r>
        <w:rPr>
          <w:rFonts w:ascii="Garamond" w:cs="Garamond" w:eastAsia="Garamond" w:hAnsi="Garamond"/>
          <w:b/>
          <w:bCs/>
          <w:color w:val="173F35"/>
          <w:sz w:val="26"/>
          <w:szCs w:val="26"/>
        </w:rPr>
        <w:t xml:space="preserve">How long should pricing be valid?</w:t>
      </w:r>
    </w:p>
    <w:p>
      <w:pPr>
        <w:spacing w:after="0" w:before="0" w:line="320"/>
        <w:jc w:val="left"/>
      </w:pPr>
      <w:r>
        <w:rPr>
          <w:rFonts w:ascii="Lato" w:cs="Lato" w:eastAsia="Lato" w:hAnsi="Lato"/>
          <w:color w:val="1A1A1A"/>
          <w:sz w:val="22"/>
          <w:szCs w:val="22"/>
        </w:rPr>
        <w:t xml:space="preserve">90 days from Proposal Due Date is the CIC-SC default for Tier 3–4 (vs. 60 days for Tier 1–2). Reflects the longer contract negotiation cycle.</w:t>
      </w:r>
    </w:p>
    <w:p>
      <w:pPr>
        <w:spacing w:after="60" w:before="200"/>
      </w:pPr>
      <w:r>
        <w:rPr>
          <w:rFonts w:ascii="Garamond" w:cs="Garamond" w:eastAsia="Garamond" w:hAnsi="Garamond"/>
          <w:b/>
          <w:bCs/>
          <w:color w:val="173F35"/>
          <w:sz w:val="26"/>
          <w:szCs w:val="26"/>
        </w:rPr>
        <w:t xml:space="preserve">Do we record the construction contract?</w:t>
      </w:r>
    </w:p>
    <w:p>
      <w:pPr>
        <w:spacing w:after="0" w:before="0" w:line="320"/>
        <w:jc w:val="left"/>
      </w:pPr>
      <w:r>
        <w:rPr>
          <w:rFonts w:ascii="Lato" w:cs="Lato" w:eastAsia="Lato" w:hAnsi="Lato"/>
          <w:color w:val="1A1A1A"/>
          <w:sz w:val="22"/>
          <w:szCs w:val="22"/>
        </w:rPr>
        <w:t xml:space="preserve">Generally no. The contract is not a real-estate instrument. Liens, if any, are recorded separately under state lien law.</w:t>
      </w:r>
    </w:p>
    <w:p>
      <w:pPr>
        <w:spacing w:after="60" w:before="200"/>
      </w:pPr>
      <w:r>
        <w:rPr>
          <w:rFonts w:ascii="Garamond" w:cs="Garamond" w:eastAsia="Garamond" w:hAnsi="Garamond"/>
          <w:b/>
          <w:bCs/>
          <w:color w:val="173F35"/>
          <w:sz w:val="26"/>
          <w:szCs w:val="26"/>
        </w:rPr>
        <w:t xml:space="preserve">Where does counsel come in?</w:t>
      </w:r>
    </w:p>
    <w:p>
      <w:pPr>
        <w:spacing w:after="0" w:before="0" w:line="320"/>
        <w:jc w:val="left"/>
      </w:pPr>
      <w:r>
        <w:rPr>
          <w:rFonts w:ascii="Lato" w:cs="Lato" w:eastAsia="Lato" w:hAnsi="Lato"/>
          <w:color w:val="1A1A1A"/>
          <w:sz w:val="22"/>
          <w:szCs w:val="22"/>
        </w:rPr>
        <w:t xml:space="preserve">From day one. Counsel should review the RFP before issuance, the Award Recommendation Memo before vote, the contract before signature, and the bonds and insurance certificates before mobilization. Counsel involvement on Tier 3–4 is not optional.</w:t>
      </w:r>
    </w:p>
    <w:p>
      <w:r>
        <w:br w:type="page"/>
      </w:r>
    </w:p>
    <w:p>
      <w:pPr>
        <w:spacing w:after="60" w:before="0"/>
      </w:pPr>
      <w:r>
        <w:rPr>
          <w:rFonts w:ascii="Lato" w:cs="Lato" w:eastAsia="Lato" w:hAnsi="Lato"/>
          <w:b/>
          <w:bCs/>
          <w:color w:val="C9A24A"/>
          <w:spacing w:val="100"/>
          <w:sz w:val="16"/>
          <w:szCs w:val="16"/>
        </w:rPr>
        <w:t xml:space="preserve">STATE-SPECIFIC GUIDANCE</w:t>
      </w:r>
    </w:p>
    <w:p>
      <w:pPr>
        <w:pStyle w:val="Heading1"/>
        <w:spacing w:after="160" w:before="280"/>
      </w:pPr>
      <w:r>
        <w:rPr>
          <w:rFonts w:ascii="Garamond" w:cs="Garamond" w:eastAsia="Garamond" w:hAnsi="Garamond"/>
          <w:b/>
          <w:bCs/>
          <w:color w:val="173F35"/>
          <w:sz w:val="40"/>
          <w:szCs w:val="40"/>
        </w:rPr>
        <w:t xml:space="preserve">Texas &amp; Florida Considerations</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Verify current effective text and amendment status with counsel before relying on any specific provision.</w:t>
      </w:r>
    </w:p>
    <w:p>
      <w:pPr>
        <w:pStyle w:val="Heading2"/>
        <w:spacing w:after="160" w:before="280"/>
      </w:pPr>
      <w:r>
        <w:rPr>
          <w:rFonts w:ascii="Garamond" w:cs="Garamond" w:eastAsia="Garamond" w:hAnsi="Garamond"/>
          <w:b/>
          <w:bCs/>
          <w:color w:val="173F35"/>
          <w:sz w:val="30"/>
          <w:szCs w:val="30"/>
        </w:rPr>
        <w:t xml:space="preserve">Texas</w:t>
      </w:r>
    </w:p>
    <w:p>
      <w:pPr>
        <w:pStyle w:val="ListParagraph"/>
        <w:numPr>
          <w:ilvl w:val="0"/>
          <w:numId w:val="2"/>
        </w:numPr>
        <w:spacing w:after="60" w:before="40" w:line="290"/>
      </w:pPr>
      <w:r>
        <w:rPr>
          <w:rFonts w:ascii="Lato" w:cs="Lato" w:eastAsia="Lato" w:hAnsi="Lato"/>
          <w:b/>
          <w:bCs/>
          <w:color w:val="173F35"/>
          <w:sz w:val="22"/>
          <w:szCs w:val="22"/>
        </w:rPr>
        <w:t xml:space="preserve">Tex. Prop. Code Ch. 53  </w:t>
      </w:r>
      <w:r>
        <w:rPr>
          <w:rFonts w:ascii="Lato" w:cs="Lato" w:eastAsia="Lato" w:hAnsi="Lato"/>
          <w:color w:val="1A1A1A"/>
          <w:sz w:val="22"/>
          <w:szCs w:val="22"/>
        </w:rPr>
        <w:t xml:space="preserve">— mechanic’s and materialman’s liens; central to capital project payment and lien waivers.</w:t>
      </w:r>
    </w:p>
    <w:p>
      <w:pPr>
        <w:pStyle w:val="ListParagraph"/>
        <w:numPr>
          <w:ilvl w:val="0"/>
          <w:numId w:val="2"/>
        </w:numPr>
        <w:spacing w:after="60" w:before="40" w:line="290"/>
      </w:pPr>
      <w:r>
        <w:rPr>
          <w:rFonts w:ascii="Lato" w:cs="Lato" w:eastAsia="Lato" w:hAnsi="Lato"/>
          <w:b/>
          <w:bCs/>
          <w:color w:val="173F35"/>
          <w:sz w:val="22"/>
          <w:szCs w:val="22"/>
        </w:rPr>
        <w:t xml:space="preserve">Tex. Civ. Prac. &amp; Rem. Code Ch. 151  </w:t>
      </w:r>
      <w:r>
        <w:rPr>
          <w:rFonts w:ascii="Lato" w:cs="Lato" w:eastAsia="Lato" w:hAnsi="Lato"/>
          <w:color w:val="1A1A1A"/>
          <w:sz w:val="22"/>
          <w:szCs w:val="22"/>
        </w:rPr>
        <w:t xml:space="preserve">— Texas Anti-Indemnity Act, applicable to certain construction contracts; counsel review required.</w:t>
      </w:r>
    </w:p>
    <w:p>
      <w:pPr>
        <w:pStyle w:val="ListParagraph"/>
        <w:numPr>
          <w:ilvl w:val="0"/>
          <w:numId w:val="2"/>
        </w:numPr>
        <w:spacing w:after="60" w:before="40" w:line="290"/>
      </w:pPr>
      <w:r>
        <w:rPr>
          <w:rFonts w:ascii="Lato" w:cs="Lato" w:eastAsia="Lato" w:hAnsi="Lato"/>
          <w:b/>
          <w:bCs/>
          <w:color w:val="173F35"/>
          <w:sz w:val="22"/>
          <w:szCs w:val="22"/>
        </w:rPr>
        <w:t xml:space="preserve">Tex. Prop. Code § 209.0051  </w:t>
      </w:r>
      <w:r>
        <w:rPr>
          <w:rFonts w:ascii="Lato" w:cs="Lato" w:eastAsia="Lato" w:hAnsi="Lato"/>
          <w:color w:val="1A1A1A"/>
          <w:sz w:val="22"/>
          <w:szCs w:val="22"/>
        </w:rPr>
        <w:t xml:space="preserve">— open-meeting and notice requirements for HOA boards considering capital awards.</w:t>
      </w:r>
    </w:p>
    <w:p>
      <w:pPr>
        <w:pStyle w:val="ListParagraph"/>
        <w:numPr>
          <w:ilvl w:val="0"/>
          <w:numId w:val="2"/>
        </w:numPr>
        <w:spacing w:after="60" w:before="40" w:line="290"/>
      </w:pPr>
      <w:r>
        <w:rPr>
          <w:rFonts w:ascii="Lato" w:cs="Lato" w:eastAsia="Lato" w:hAnsi="Lato"/>
          <w:b/>
          <w:bCs/>
          <w:color w:val="173F35"/>
          <w:sz w:val="22"/>
          <w:szCs w:val="22"/>
        </w:rPr>
        <w:t xml:space="preserve">Tex. Bus. Orgs. Code § 22.230  </w:t>
      </w:r>
      <w:r>
        <w:rPr>
          <w:rFonts w:ascii="Lato" w:cs="Lato" w:eastAsia="Lato" w:hAnsi="Lato"/>
          <w:color w:val="1A1A1A"/>
          <w:sz w:val="22"/>
          <w:szCs w:val="22"/>
        </w:rPr>
        <w:t xml:space="preserve">— interested-director transactions; relevant where any Director, Officer, Committee Member, or relative has a relationship with a bidder.</w:t>
      </w:r>
    </w:p>
    <w:p>
      <w:pPr>
        <w:pStyle w:val="Heading2"/>
        <w:spacing w:after="160" w:before="280"/>
      </w:pPr>
      <w:r>
        <w:rPr>
          <w:rFonts w:ascii="Garamond" w:cs="Garamond" w:eastAsia="Garamond" w:hAnsi="Garamond"/>
          <w:b/>
          <w:bCs/>
          <w:color w:val="173F35"/>
          <w:sz w:val="30"/>
          <w:szCs w:val="30"/>
        </w:rPr>
        <w:t xml:space="preserve">Florida</w:t>
      </w:r>
    </w:p>
    <w:p>
      <w:pPr>
        <w:pStyle w:val="ListParagraph"/>
        <w:numPr>
          <w:ilvl w:val="0"/>
          <w:numId w:val="2"/>
        </w:numPr>
        <w:spacing w:after="60" w:before="40" w:line="290"/>
      </w:pPr>
      <w:r>
        <w:rPr>
          <w:rFonts w:ascii="Lato" w:cs="Lato" w:eastAsia="Lato" w:hAnsi="Lato"/>
          <w:b/>
          <w:bCs/>
          <w:color w:val="173F35"/>
          <w:sz w:val="22"/>
          <w:szCs w:val="22"/>
        </w:rPr>
        <w:t xml:space="preserve">Fla. Stat. § 718.3026  </w:t>
      </w:r>
      <w:r>
        <w:rPr>
          <w:rFonts w:ascii="Lato" w:cs="Lato" w:eastAsia="Lato" w:hAnsi="Lato"/>
          <w:color w:val="1A1A1A"/>
          <w:sz w:val="22"/>
          <w:szCs w:val="22"/>
        </w:rPr>
        <w:t xml:space="preserve">— Contracts for products and services; competitive-bid requirements for condominium contracts above a statutory threshold.</w:t>
      </w:r>
    </w:p>
    <w:p>
      <w:pPr>
        <w:pStyle w:val="ListParagraph"/>
        <w:numPr>
          <w:ilvl w:val="0"/>
          <w:numId w:val="2"/>
        </w:numPr>
        <w:spacing w:after="60" w:before="40" w:line="290"/>
      </w:pPr>
      <w:r>
        <w:rPr>
          <w:rFonts w:ascii="Lato" w:cs="Lato" w:eastAsia="Lato" w:hAnsi="Lato"/>
          <w:b/>
          <w:bCs/>
          <w:color w:val="173F35"/>
          <w:sz w:val="22"/>
          <w:szCs w:val="22"/>
        </w:rPr>
        <w:t xml:space="preserve">Fla. Stat. § 718.3025  </w:t>
      </w:r>
      <w:r>
        <w:rPr>
          <w:rFonts w:ascii="Lato" w:cs="Lato" w:eastAsia="Lato" w:hAnsi="Lato"/>
          <w:color w:val="1A1A1A"/>
          <w:sz w:val="22"/>
          <w:szCs w:val="22"/>
        </w:rPr>
        <w:t xml:space="preserve">— Agreements for the operation, maintenance, or management of condominium property; specific content requirements for management contracts.</w:t>
      </w:r>
    </w:p>
    <w:p>
      <w:pPr>
        <w:pStyle w:val="ListParagraph"/>
        <w:numPr>
          <w:ilvl w:val="0"/>
          <w:numId w:val="2"/>
        </w:numPr>
        <w:spacing w:after="60" w:before="40" w:line="290"/>
      </w:pPr>
      <w:r>
        <w:rPr>
          <w:rFonts w:ascii="Lato" w:cs="Lato" w:eastAsia="Lato" w:hAnsi="Lato"/>
          <w:b/>
          <w:bCs/>
          <w:color w:val="173F35"/>
          <w:sz w:val="22"/>
          <w:szCs w:val="22"/>
        </w:rPr>
        <w:t xml:space="preserve">Fla. Stat. Ch. 713  </w:t>
      </w:r>
      <w:r>
        <w:rPr>
          <w:rFonts w:ascii="Lato" w:cs="Lato" w:eastAsia="Lato" w:hAnsi="Lato"/>
          <w:color w:val="1A1A1A"/>
          <w:sz w:val="22"/>
          <w:szCs w:val="22"/>
        </w:rPr>
        <w:t xml:space="preserve">— construction-lien framework; central to capital project lien waivers and Notice to Owner procedures.</w:t>
      </w:r>
    </w:p>
    <w:p>
      <w:pPr>
        <w:pStyle w:val="ListParagraph"/>
        <w:numPr>
          <w:ilvl w:val="0"/>
          <w:numId w:val="2"/>
        </w:numPr>
        <w:spacing w:after="60" w:before="40" w:line="290"/>
      </w:pPr>
      <w:r>
        <w:rPr>
          <w:rFonts w:ascii="Lato" w:cs="Lato" w:eastAsia="Lato" w:hAnsi="Lato"/>
          <w:b/>
          <w:bCs/>
          <w:color w:val="173F35"/>
          <w:sz w:val="22"/>
          <w:szCs w:val="22"/>
        </w:rPr>
        <w:t xml:space="preserve">Fla. Stat. § 718.111(11)  </w:t>
      </w:r>
      <w:r>
        <w:rPr>
          <w:rFonts w:ascii="Lato" w:cs="Lato" w:eastAsia="Lato" w:hAnsi="Lato"/>
          <w:color w:val="1A1A1A"/>
          <w:sz w:val="22"/>
          <w:szCs w:val="22"/>
        </w:rPr>
        <w:t xml:space="preserve">— condominium insurance; coordinates with vendor coverage and any Builder’s Risk policy.</w:t>
      </w:r>
    </w:p>
    <w:p>
      <w:pPr>
        <w:pStyle w:val="ListParagraph"/>
        <w:numPr>
          <w:ilvl w:val="0"/>
          <w:numId w:val="2"/>
        </w:numPr>
        <w:spacing w:after="60" w:before="40" w:line="290"/>
      </w:pPr>
      <w:r>
        <w:rPr>
          <w:rFonts w:ascii="Lato" w:cs="Lato" w:eastAsia="Lato" w:hAnsi="Lato"/>
          <w:b/>
          <w:bCs/>
          <w:color w:val="173F35"/>
          <w:sz w:val="22"/>
          <w:szCs w:val="22"/>
        </w:rPr>
        <w:t xml:space="preserve">Fla. Stat. §§ 718.3027 / 720.3033  </w:t>
      </w:r>
      <w:r>
        <w:rPr>
          <w:rFonts w:ascii="Lato" w:cs="Lato" w:eastAsia="Lato" w:hAnsi="Lato"/>
          <w:color w:val="1A1A1A"/>
          <w:sz w:val="22"/>
          <w:szCs w:val="22"/>
        </w:rPr>
        <w:t xml:space="preserve">— conflicts of interest; amplified consequences for Tier 3–4 awards.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 718.3025 — MANAGEMENT CONTRACTS</w:t>
            </w:r>
          </w:p>
          <w:p>
            <w:pPr>
              <w:spacing w:after="0" w:before="0" w:line="300"/>
              <w:jc w:val="left"/>
            </w:pPr>
            <w:r>
              <w:rPr>
                <w:rFonts w:ascii="Lato" w:cs="Lato" w:eastAsia="Lato" w:hAnsi="Lato"/>
                <w:color w:val="1A1A1A"/>
                <w:sz w:val="22"/>
                <w:szCs w:val="22"/>
              </w:rPr>
              <w:t xml:space="preserve">Florida statute imposes specific content requirements on condominium management contracts: scope, duties, term, termination rights, and others. Vendor-supplied agreements often miss these. Insist on a Board-supplied or counsel-drafted form; confirm § 718.3025 compliance before signature.</w:t>
            </w:r>
          </w:p>
        </w:tc>
      </w:tr>
    </w:tbl>
    <w:p>
      <w:r>
        <w:br w:type="page"/>
      </w:r>
    </w:p>
    <w:p>
      <w:pPr>
        <w:spacing w:after="60" w:before="0"/>
      </w:pPr>
      <w:r>
        <w:rPr>
          <w:rFonts w:ascii="Lato" w:cs="Lato" w:eastAsia="Lato" w:hAnsi="Lato"/>
          <w:b/>
          <w:bCs/>
          <w:color w:val="C9A24A"/>
          <w:spacing w:val="100"/>
          <w:sz w:val="16"/>
          <w:szCs w:val="16"/>
        </w:rPr>
        <w:t xml:space="preserve">RELATED RESOURCES</w:t>
      </w:r>
    </w:p>
    <w:p>
      <w:pPr>
        <w:pStyle w:val="Heading1"/>
        <w:spacing w:after="160" w:before="280"/>
      </w:pPr>
      <w:r>
        <w:rPr>
          <w:rFonts w:ascii="Garamond" w:cs="Garamond" w:eastAsia="Garamond" w:hAnsi="Garamond"/>
          <w:b/>
          <w:bCs/>
          <w:color w:val="173F35"/>
          <w:sz w:val="40"/>
          <w:szCs w:val="40"/>
        </w:rPr>
        <w:t xml:space="preserve">From the CIC-SC Library</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b/>
          <w:bCs/>
          <w:color w:val="173F35"/>
          <w:sz w:val="22"/>
          <w:szCs w:val="22"/>
        </w:rPr>
        <w:t xml:space="preserve">RFP Tier 3/4 Adoption-Ready Template  </w:t>
      </w:r>
      <w:r>
        <w:rPr>
          <w:rFonts w:ascii="Lato" w:cs="Lato" w:eastAsia="Lato" w:hAnsi="Lato"/>
          <w:color w:val="1A1A1A"/>
          <w:sz w:val="22"/>
          <w:szCs w:val="22"/>
        </w:rPr>
        <w:t xml:space="preserve">— the document this guide accompanies.</w:t>
      </w:r>
    </w:p>
    <w:p>
      <w:pPr>
        <w:pStyle w:val="ListParagraph"/>
        <w:numPr>
          <w:ilvl w:val="0"/>
          <w:numId w:val="2"/>
        </w:numPr>
        <w:spacing w:after="60" w:before="40" w:line="290"/>
      </w:pPr>
      <w:r>
        <w:rPr>
          <w:rFonts w:ascii="Lato" w:cs="Lato" w:eastAsia="Lato" w:hAnsi="Lato"/>
          <w:b/>
          <w:bCs/>
          <w:color w:val="173F35"/>
          <w:sz w:val="22"/>
          <w:szCs w:val="22"/>
        </w:rPr>
        <w:t xml:space="preserve">Standalone Drafts  </w:t>
      </w:r>
      <w:r>
        <w:rPr>
          <w:rFonts w:ascii="Lato" w:cs="Lato" w:eastAsia="Lato" w:hAnsi="Lato"/>
          <w:color w:val="1A1A1A"/>
          <w:sz w:val="22"/>
          <w:szCs w:val="22"/>
        </w:rPr>
        <w:t xml:space="preserve">— Sample RFP for Roof Replacement (Texas) and Sample RFP for Community Management Services (Florida).</w:t>
      </w:r>
    </w:p>
    <w:p>
      <w:pPr>
        <w:pStyle w:val="ListParagraph"/>
        <w:numPr>
          <w:ilvl w:val="0"/>
          <w:numId w:val="2"/>
        </w:numPr>
        <w:spacing w:after="60" w:before="40" w:line="290"/>
      </w:pPr>
      <w:r>
        <w:rPr>
          <w:rFonts w:ascii="Lato" w:cs="Lato" w:eastAsia="Lato" w:hAnsi="Lato"/>
          <w:b/>
          <w:bCs/>
          <w:color w:val="173F35"/>
          <w:sz w:val="22"/>
          <w:szCs w:val="22"/>
        </w:rPr>
        <w:t xml:space="preserve">Comparative Proposal Evaluation Worksheet  </w:t>
      </w:r>
      <w:r>
        <w:rPr>
          <w:rFonts w:ascii="Lato" w:cs="Lato" w:eastAsia="Lato" w:hAnsi="Lato"/>
          <w:color w:val="1A1A1A"/>
          <w:sz w:val="22"/>
          <w:szCs w:val="22"/>
        </w:rPr>
        <w:t xml:space="preserve">— adapt the default weights as described above for Tier 3–4.</w:t>
      </w:r>
    </w:p>
    <w:p>
      <w:pPr>
        <w:pStyle w:val="ListParagraph"/>
        <w:numPr>
          <w:ilvl w:val="0"/>
          <w:numId w:val="2"/>
        </w:numPr>
        <w:spacing w:after="60" w:before="40" w:line="290"/>
      </w:pPr>
      <w:r>
        <w:rPr>
          <w:rFonts w:ascii="Lato" w:cs="Lato" w:eastAsia="Lato" w:hAnsi="Lato"/>
          <w:b/>
          <w:bCs/>
          <w:color w:val="173F35"/>
          <w:sz w:val="22"/>
          <w:szCs w:val="22"/>
        </w:rPr>
        <w:t xml:space="preserve">RFP Tier 1/2 Toolkit  </w:t>
      </w:r>
      <w:r>
        <w:rPr>
          <w:rFonts w:ascii="Lato" w:cs="Lato" w:eastAsia="Lato" w:hAnsi="Lato"/>
          <w:color w:val="1A1A1A"/>
          <w:sz w:val="22"/>
          <w:szCs w:val="22"/>
        </w:rPr>
        <w:t xml:space="preserve">— routine recurring services; use for landscape, pool, pest, janitorial, trash.</w:t>
      </w:r>
    </w:p>
    <w:p>
      <w:pPr>
        <w:pStyle w:val="ListParagraph"/>
        <w:numPr>
          <w:ilvl w:val="0"/>
          <w:numId w:val="2"/>
        </w:numPr>
        <w:spacing w:after="60" w:before="40" w:line="290"/>
      </w:pPr>
      <w:r>
        <w:rPr>
          <w:rFonts w:ascii="Lato" w:cs="Lato" w:eastAsia="Lato" w:hAnsi="Lato"/>
          <w:b/>
          <w:bCs/>
          <w:color w:val="173F35"/>
          <w:sz w:val="22"/>
          <w:szCs w:val="22"/>
        </w:rPr>
        <w:t xml:space="preserve">Reserve Study Education  </w:t>
      </w:r>
      <w:r>
        <w:rPr>
          <w:rFonts w:ascii="Lato" w:cs="Lato" w:eastAsia="Lato" w:hAnsi="Lato"/>
          <w:color w:val="1A1A1A"/>
          <w:sz w:val="22"/>
          <w:szCs w:val="22"/>
        </w:rPr>
        <w:t xml:space="preserve">— anchors the scope of every capital RFP. Forthcoming.</w:t>
      </w:r>
    </w:p>
    <w:p>
      <w:pPr>
        <w:pStyle w:val="ListParagraph"/>
        <w:numPr>
          <w:ilvl w:val="0"/>
          <w:numId w:val="2"/>
        </w:numPr>
        <w:spacing w:after="60" w:before="40" w:line="290"/>
      </w:pPr>
      <w:r>
        <w:rPr>
          <w:rFonts w:ascii="Lato" w:cs="Lato" w:eastAsia="Lato" w:hAnsi="Lato"/>
          <w:b/>
          <w:bCs/>
          <w:color w:val="173F35"/>
          <w:sz w:val="22"/>
          <w:szCs w:val="22"/>
        </w:rPr>
        <w:t xml:space="preserve">Board Code of Ethics  </w:t>
      </w:r>
      <w:r>
        <w:rPr>
          <w:rFonts w:ascii="Lato" w:cs="Lato" w:eastAsia="Lato" w:hAnsi="Lato"/>
          <w:color w:val="1A1A1A"/>
          <w:sz w:val="22"/>
          <w:szCs w:val="22"/>
        </w:rPr>
        <w:t xml:space="preserve">— Article 3 (Conflicts) and Article 7 (Vendor Relations) — load-bearing in Tier 3–4 awards.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BECOME A CIC-SC MEMBER</w:t>
            </w:r>
          </w:p>
          <w:p>
            <w:pPr>
              <w:spacing w:after="0" w:before="0" w:line="300"/>
              <w:jc w:val="left"/>
            </w:pPr>
            <w:r>
              <w:rPr>
                <w:rFonts w:ascii="Lato" w:cs="Lato" w:eastAsia="Lato" w:hAnsi="Lato"/>
                <w:color w:val="1A1A1A"/>
                <w:sz w:val="22"/>
                <w:szCs w:val="22"/>
              </w:rPr>
              <w:t xml:space="preserve">Members get full access to the CIC-SC library, including the CIC-SC Construction Contract and the Florida § 718.3025-compliant Management Agreement Template, quarterly state-specific legislative updates, and live training. Visit CIC-SC.org/membership to join.</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RFP Tier 3/4  •  Educational Guide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RFP Tier 3/4 — Educational Guide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 Tier 3/4 Educational Guide</dc:title>
  <dc:creator>Common Interest Community Standards Council (CIC-SC)</dc:creator>
  <dc:description>CIC-SC Vendor Management Toolkit — Tier 3/4 companion guide.</dc:description>
  <cp:lastModifiedBy>Un-named</cp:lastModifiedBy>
  <cp:revision>1</cp:revision>
  <dcterms:created xsi:type="dcterms:W3CDTF">2026-05-10T22:00:36.585Z</dcterms:created>
  <dcterms:modified xsi:type="dcterms:W3CDTF">2026-05-10T22:00:36.586Z</dcterms:modified>
</cp:coreProperties>
</file>

<file path=docProps/custom.xml><?xml version="1.0" encoding="utf-8"?>
<Properties xmlns="http://schemas.openxmlformats.org/officeDocument/2006/custom-properties" xmlns:vt="http://schemas.openxmlformats.org/officeDocument/2006/docPropsVTypes"/>
</file>