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360" w:hRule="exact"/>
        </w:trPr>
        <w:tc>
          <w:tcPr>
            <w:tcW w:type="dxa" w:w="9360"/>
            <w:tcBorders>
              <w:top w:val="none" w:color="auto" w:sz="0"/>
              <w:left w:val="none" w:color="auto" w:sz="0"/>
              <w:bottom w:val="none" w:color="auto" w:sz="0"/>
              <w:right w:val="none" w:color="auto" w:sz="0"/>
            </w:tcBorders>
            <w:shd w:fill="C9A24A" w:color="auto" w:val="clear"/>
            <w:tcMar>
              <w:top w:type="dxa" w:w="0"/>
              <w:left w:type="dxa" w:w="0"/>
              <w:bottom w:type="dxa" w:w="0"/>
              <w:right w:type="dxa" w:w="0"/>
            </w:tcMar>
          </w:tcPr>
          <w:p>
            <w:r>
              <w:t xml:space="preserve"/>
            </w:r>
          </w:p>
        </w:tc>
      </w:tr>
    </w:tbl>
    <w:p>
      <w:pPr>
        <w:spacing w:after="0" w:before="0"/>
      </w:pPr>
      <w:r>
        <w:rPr>
          <w:sz w:val="2"/>
          <w:szCs w:val="2"/>
        </w:rPr>
        <w:t xml:space="preserve"/>
      </w:r>
    </w:p>
    <w:p>
      <w:pPr>
        <w:spacing w:after="80" w:before="320"/>
        <w:jc w:val="left"/>
      </w:pPr>
      <w:r>
        <w:rPr>
          <w:rFonts w:ascii="Lato" w:cs="Lato" w:eastAsia="Lato" w:hAnsi="Lato"/>
          <w:b/>
          <w:bCs/>
          <w:color w:val="173F35"/>
          <w:spacing w:val="120"/>
          <w:sz w:val="16"/>
          <w:szCs w:val="16"/>
        </w:rPr>
        <w:t xml:space="preserve">COMMON INTEREST COMMUNITY STANDARDS COUNCIL</w:t>
      </w:r>
    </w:p>
    <w:p>
      <w:pPr>
        <w:spacing w:after="60" w:before="0"/>
        <w:jc w:val="left"/>
      </w:pPr>
      <w:r>
        <w:rPr>
          <w:rFonts w:ascii="Lato" w:cs="Lato" w:eastAsia="Lato" w:hAnsi="Lato"/>
          <w:i/>
          <w:iCs/>
          <w:color w:val="5C5C5C"/>
          <w:sz w:val="18"/>
          <w:szCs w:val="18"/>
        </w:rPr>
        <w:t xml:space="preserve">Educational Guide  /  Companion to the RFP Tier 1/2 Template</w:t>
      </w:r>
    </w:p>
    <w:p>
      <w:pPr>
        <w:pBdr>
          <w:bottom w:val="single" w:color="C9A24A" w:sz="12" w:space="1"/>
        </w:pBdr>
        <w:spacing w:after="120" w:before="80"/>
      </w:pPr>
      <w:r>
        <w:t xml:space="preserve"/>
      </w:r>
    </w:p>
    <w:p>
      <w:pPr>
        <w:spacing w:after="240" w:before="1200"/>
        <w:jc w:val="left"/>
      </w:pPr>
      <w:r>
        <w:rPr>
          <w:rFonts w:ascii="Garamond" w:cs="Garamond" w:eastAsia="Garamond" w:hAnsi="Garamond"/>
          <w:color w:val="173F35"/>
          <w:sz w:val="60"/>
          <w:szCs w:val="60"/>
        </w:rPr>
        <w:t xml:space="preserve">Running a</w:t>
      </w:r>
    </w:p>
    <w:p>
      <w:pPr>
        <w:spacing w:after="240" w:before="0"/>
        <w:jc w:val="left"/>
      </w:pPr>
      <w:r>
        <w:rPr>
          <w:rFonts w:ascii="Garamond" w:cs="Garamond" w:eastAsia="Garamond" w:hAnsi="Garamond"/>
          <w:i/>
          <w:iCs/>
          <w:color w:val="173F35"/>
          <w:sz w:val="60"/>
          <w:szCs w:val="60"/>
        </w:rPr>
        <w:t xml:space="preserve">Clean RFP</w:t>
      </w:r>
    </w:p>
    <w:p>
      <w:pPr>
        <w:spacing w:after="1200" w:before="80"/>
        <w:jc w:val="left"/>
      </w:pPr>
      <w:r>
        <w:rPr>
          <w:rFonts w:ascii="Lato" w:cs="Lato" w:eastAsia="Lato" w:hAnsi="Lato"/>
          <w:color w:val="1A1A1A"/>
          <w:sz w:val="24"/>
          <w:szCs w:val="24"/>
        </w:rPr>
        <w:t xml:space="preserve">How HOA and condominium boards source, evaluate, and award routine recurring service contracts — written for volunteer directors and managers in Texas and Florida.</w:t>
      </w:r>
    </w:p>
    <w:p>
      <w:pPr>
        <w:pBdr>
          <w:bottom w:val="single" w:color="173F35" w:sz="8" w:space="1"/>
        </w:pBdr>
        <w:spacing w:after="120" w:before="80"/>
      </w:pPr>
      <w:r>
        <w:t xml:space="preserve"/>
      </w:r>
    </w:p>
    <w:p>
      <w:pPr>
        <w:spacing w:after="40" w:before="0"/>
        <w:jc w:val="left"/>
      </w:pPr>
      <w:r>
        <w:rPr>
          <w:rFonts w:ascii="Lato" w:cs="Lato" w:eastAsia="Lato" w:hAnsi="Lato"/>
          <w:b/>
          <w:bCs/>
          <w:color w:val="C9A24A"/>
          <w:spacing w:val="100"/>
          <w:sz w:val="16"/>
          <w:szCs w:val="16"/>
        </w:rPr>
        <w:t xml:space="preserve">RESOURCE TYPE</w:t>
      </w:r>
    </w:p>
    <w:p>
      <w:pPr>
        <w:spacing w:after="200" w:before="0"/>
        <w:jc w:val="left"/>
      </w:pPr>
      <w:r>
        <w:rPr>
          <w:rFonts w:ascii="Lato" w:cs="Lato" w:eastAsia="Lato" w:hAnsi="Lato"/>
          <w:color w:val="1A1A1A"/>
          <w:sz w:val="22"/>
          <w:szCs w:val="22"/>
        </w:rPr>
        <w:t xml:space="preserve">Educational Guide  •  Texas &amp; Florida Applicable</w:t>
      </w:r>
    </w:p>
    <w:p>
      <w:pPr>
        <w:spacing w:after="40" w:before="0"/>
        <w:jc w:val="left"/>
      </w:pPr>
      <w:r>
        <w:rPr>
          <w:rFonts w:ascii="Lato" w:cs="Lato" w:eastAsia="Lato" w:hAnsi="Lato"/>
          <w:b/>
          <w:bCs/>
          <w:color w:val="C9A24A"/>
          <w:spacing w:val="100"/>
          <w:sz w:val="16"/>
          <w:szCs w:val="16"/>
        </w:rPr>
        <w:t xml:space="preserve">AUDIENCE</w:t>
      </w:r>
    </w:p>
    <w:p>
      <w:pPr>
        <w:spacing w:after="200" w:before="0"/>
        <w:jc w:val="left"/>
      </w:pPr>
      <w:r>
        <w:rPr>
          <w:rFonts w:ascii="Lato" w:cs="Lato" w:eastAsia="Lato" w:hAnsi="Lato"/>
          <w:color w:val="1A1A1A"/>
          <w:sz w:val="22"/>
          <w:szCs w:val="22"/>
        </w:rPr>
        <w:t xml:space="preserve">HOA &amp; Condominium Boards  •  Association Managers  •  Self-Managed Associations</w:t>
      </w:r>
    </w:p>
    <w:p>
      <w:pPr>
        <w:spacing w:after="40" w:before="0"/>
        <w:jc w:val="left"/>
      </w:pPr>
      <w:r>
        <w:rPr>
          <w:rFonts w:ascii="Lato" w:cs="Lato" w:eastAsia="Lato" w:hAnsi="Lato"/>
          <w:b/>
          <w:bCs/>
          <w:color w:val="C9A24A"/>
          <w:spacing w:val="100"/>
          <w:sz w:val="16"/>
          <w:szCs w:val="16"/>
        </w:rPr>
        <w:t xml:space="preserve">PAIRS WITH</w:t>
      </w:r>
    </w:p>
    <w:p>
      <w:pPr>
        <w:spacing w:after="200" w:before="0"/>
        <w:jc w:val="left"/>
      </w:pPr>
      <w:r>
        <w:rPr>
          <w:rFonts w:ascii="Lato" w:cs="Lato" w:eastAsia="Lato" w:hAnsi="Lato"/>
          <w:color w:val="1A1A1A"/>
          <w:sz w:val="22"/>
          <w:szCs w:val="22"/>
        </w:rPr>
        <w:t xml:space="preserve">RFP Tier 1/2 Adoption-Ready Template  •  Comparative Proposal Evaluation Worksheet  •  Standalone Drafts (Landscape, Pool)</w:t>
      </w:r>
    </w:p>
    <w:p>
      <w:pPr>
        <w:spacing w:after="40" w:before="0"/>
        <w:jc w:val="left"/>
      </w:pPr>
      <w:r>
        <w:rPr>
          <w:rFonts w:ascii="Lato" w:cs="Lato" w:eastAsia="Lato" w:hAnsi="Lato"/>
          <w:b/>
          <w:bCs/>
          <w:color w:val="C9A24A"/>
          <w:spacing w:val="100"/>
          <w:sz w:val="16"/>
          <w:szCs w:val="16"/>
        </w:rPr>
        <w:t xml:space="preserve">PUBLISHED BY</w:t>
      </w:r>
    </w:p>
    <w:p>
      <w:pPr>
        <w:spacing w:after="0" w:before="0"/>
        <w:jc w:val="left"/>
      </w:pPr>
      <w:r>
        <w:rPr>
          <w:rFonts w:ascii="Lato" w:cs="Lato" w:eastAsia="Lato" w:hAnsi="Lato"/>
          <w:b/>
          <w:bCs/>
          <w:color w:val="1A1A1A"/>
          <w:sz w:val="22"/>
          <w:szCs w:val="22"/>
        </w:rPr>
        <w:t xml:space="preserve">Common Interest Community Standards Council  </w:t>
      </w:r>
      <w:r>
        <w:rPr>
          <w:rFonts w:ascii="Lato" w:cs="Lato" w:eastAsia="Lato" w:hAnsi="Lato"/>
          <w:color w:val="173F35"/>
          <w:sz w:val="22"/>
          <w:szCs w:val="22"/>
        </w:rPr>
        <w:t xml:space="preserve">•  CIC-SC.org</w:t>
      </w:r>
    </w:p>
    <w:p>
      <w:r>
        <w:br w:type="page"/>
      </w:r>
    </w:p>
    <w:p>
      <w:pPr>
        <w:sectPr>
          <w:headerReference w:type="default" r:id="rId7"/>
          <w:footerReference w:type="default" r:id="rId8"/>
          <w:pgSz w:w="12240" w:h="15840" w:orient="portrait"/>
          <w:pgMar w:top="0" w:right="1080" w:bottom="720" w:left="1080" w:header="0" w:footer="360" w:gutter="0"/>
          <w:pgNumType/>
          <w:docGrid w:linePitch="360"/>
        </w:sectPr>
      </w:pPr>
    </w:p>
    <w:p>
      <w:pPr>
        <w:spacing w:after="60" w:before="0"/>
      </w:pPr>
      <w:r>
        <w:rPr>
          <w:rFonts w:ascii="Lato" w:cs="Lato" w:eastAsia="Lato" w:hAnsi="Lato"/>
          <w:b/>
          <w:bCs/>
          <w:color w:val="C9A24A"/>
          <w:spacing w:val="100"/>
          <w:sz w:val="16"/>
          <w:szCs w:val="16"/>
        </w:rPr>
        <w:t xml:space="preserve">EXECUTIVE SUMMARY</w:t>
      </w:r>
    </w:p>
    <w:p>
      <w:pPr>
        <w:pStyle w:val="Heading1"/>
        <w:spacing w:after="160" w:before="280"/>
      </w:pPr>
      <w:r>
        <w:rPr>
          <w:rFonts w:ascii="Garamond" w:cs="Garamond" w:eastAsia="Garamond" w:hAnsi="Garamond"/>
          <w:b/>
          <w:bCs/>
          <w:color w:val="173F35"/>
          <w:sz w:val="40"/>
          <w:szCs w:val="40"/>
        </w:rPr>
        <w:t xml:space="preserve">In Brief</w:t>
      </w:r>
    </w:p>
    <w:p>
      <w:pPr>
        <w:pBdr>
          <w:bottom w:val="single" w:color="C9A24A" w:sz="8" w:space="1"/>
        </w:pBdr>
        <w:spacing w:after="120" w:before="80"/>
      </w:pPr>
      <w:r>
        <w:t xml:space="preserve"/>
      </w:r>
    </w:p>
    <w:p>
      <w:pPr>
        <w:spacing w:after="120" w:before="0" w:line="320"/>
        <w:jc w:val="left"/>
      </w:pPr>
      <w:r>
        <w:rPr>
          <w:rFonts w:ascii="Lato" w:cs="Lato" w:eastAsia="Lato" w:hAnsi="Lato"/>
          <w:color w:val="1A1A1A"/>
          <w:sz w:val="22"/>
          <w:szCs w:val="22"/>
        </w:rPr>
        <w:t xml:space="preserve">A clean RFP is the difference between a vendor relationship that runs itself and one that consumes board time every month. The work — defining scope, sourcing bidders, evaluating proposals, and negotiating an award — fits comfortably in a 35- to 60-day calendar, and the same scaffold serves landscape, pool, pest, janitorial, trash, and similar Tier 1/2 categories.</w:t>
      </w:r>
    </w:p>
    <w:p>
      <w:pPr>
        <w:spacing w:after="120" w:before="0" w:line="320"/>
        <w:jc w:val="left"/>
      </w:pPr>
      <w:r>
        <w:rPr>
          <w:rFonts w:ascii="Lato" w:cs="Lato" w:eastAsia="Lato" w:hAnsi="Lato"/>
          <w:color w:val="1A1A1A"/>
          <w:sz w:val="22"/>
          <w:szCs w:val="22"/>
        </w:rPr>
        <w:t xml:space="preserve">This guide walks the process step-by-step, identifies where boards most often go wrong, summarizes the Texas and Florida statutory framework, and points to the companion template, drafts, and evaluation worksheet so the board can run the next solicitation with confidence.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73F35" w:sz="4"/>
              <w:left w:val="single" w:color="173F35" w:sz="24"/>
              <w:bottom w:val="single" w:color="173F35" w:sz="4"/>
              <w:right w:val="single" w:color="173F35" w:sz="4"/>
            </w:tcBorders>
            <w:shd w:fill="DDE7E2"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IN ONE PARAGRAPH</w:t>
            </w:r>
          </w:p>
          <w:p>
            <w:pPr>
              <w:spacing w:after="0" w:before="0" w:line="300"/>
              <w:jc w:val="left"/>
            </w:pPr>
            <w:r>
              <w:rPr>
                <w:rFonts w:ascii="Lato" w:cs="Lato" w:eastAsia="Lato" w:hAnsi="Lato"/>
                <w:color w:val="1A1A1A"/>
                <w:sz w:val="22"/>
                <w:szCs w:val="22"/>
              </w:rPr>
              <w:t xml:space="preserve">Define the scope in observable, outcome-oriented language. Source at least three qualified bidders. Issue the RFP with a 35-day calendar. Run a mandatory site visit for property-specific scopes. Use a uniform scoring rubric to evaluate proposals. Disclose conflicts. Negotiate the award. Sign a written contract that mirrors the RFP. That is the practice — the rest of this guide explains why each step matters.</w:t>
            </w:r>
          </w:p>
        </w:tc>
      </w:tr>
    </w:tbl>
    <w:p>
      <w:r>
        <w:br w:type="page"/>
      </w:r>
    </w:p>
    <w:p>
      <w:pPr>
        <w:spacing w:after="60" w:before="0"/>
      </w:pPr>
      <w:r>
        <w:rPr>
          <w:rFonts w:ascii="Lato" w:cs="Lato" w:eastAsia="Lato" w:hAnsi="Lato"/>
          <w:b/>
          <w:bCs/>
          <w:color w:val="C9A24A"/>
          <w:spacing w:val="100"/>
          <w:sz w:val="16"/>
          <w:szCs w:val="16"/>
        </w:rPr>
        <w:t xml:space="preserve">WHY THIS MATTERS</w:t>
      </w:r>
    </w:p>
    <w:p>
      <w:pPr>
        <w:pStyle w:val="Heading1"/>
        <w:spacing w:after="160" w:before="280"/>
      </w:pPr>
      <w:r>
        <w:rPr>
          <w:rFonts w:ascii="Garamond" w:cs="Garamond" w:eastAsia="Garamond" w:hAnsi="Garamond"/>
          <w:b/>
          <w:bCs/>
          <w:color w:val="173F35"/>
          <w:sz w:val="40"/>
          <w:szCs w:val="40"/>
        </w:rPr>
        <w:t xml:space="preserve">The Case for a Written RFP</w:t>
      </w:r>
    </w:p>
    <w:p>
      <w:pPr>
        <w:pBdr>
          <w:bottom w:val="single" w:color="C9A24A" w:sz="8" w:space="1"/>
        </w:pBdr>
        <w:spacing w:after="120" w:before="80"/>
      </w:pPr>
      <w:r>
        <w:t xml:space="preserve"/>
      </w:r>
    </w:p>
    <w:p>
      <w:pPr>
        <w:spacing w:after="120" w:before="0" w:line="320"/>
        <w:jc w:val="left"/>
      </w:pPr>
      <w:r>
        <w:rPr>
          <w:rFonts w:ascii="Lato" w:cs="Lato" w:eastAsia="Lato" w:hAnsi="Lato"/>
          <w:color w:val="1A1A1A"/>
          <w:sz w:val="22"/>
          <w:szCs w:val="22"/>
        </w:rPr>
        <w:t xml:space="preserve">Tier 1/2 service contracts — landscape, pool, pest, janitorial, trash — typically represent the largest controllable line items in a community’s annual operating budget after insurance and utilities. A board that re-bids these on a disciplined three-year cycle, using a written RFP and a uniform evaluation rubric, is usually rewarded with two outcomes: better pricing and better service. The discipline of writing a scope forces the board to ask what it is actually buying, and the discipline of comparing bids prevents incumbency from masking declining performance.</w:t>
      </w:r>
    </w:p>
    <w:p>
      <w:pPr>
        <w:spacing w:after="200" w:before="0" w:line="320"/>
        <w:jc w:val="left"/>
      </w:pPr>
      <w:r>
        <w:rPr>
          <w:rFonts w:ascii="Lato" w:cs="Lato" w:eastAsia="Lato" w:hAnsi="Lato"/>
          <w:color w:val="1A1A1A"/>
          <w:sz w:val="22"/>
          <w:szCs w:val="22"/>
        </w:rPr>
        <w:t xml:space="preserve">Beyond price, a written RFP creates a defensible record. The audit trail — issuance date, bidder list, questions and answers, evaluation scores, recusal disclosures, award memo — is exactly what the board needs to demonstrate prudent business judgment if the award is ever questioned by an owner, auditor, or court. It is also what an incoming board needs to onboard cleanly when a director rotates off.</w:t>
      </w:r>
    </w:p>
    <w:p>
      <w:r>
        <w:br w:type="page"/>
      </w:r>
    </w:p>
    <w:p>
      <w:pPr>
        <w:spacing w:after="60" w:before="0"/>
      </w:pPr>
      <w:r>
        <w:rPr>
          <w:rFonts w:ascii="Lato" w:cs="Lato" w:eastAsia="Lato" w:hAnsi="Lato"/>
          <w:b/>
          <w:bCs/>
          <w:color w:val="C9A24A"/>
          <w:spacing w:val="100"/>
          <w:sz w:val="16"/>
          <w:szCs w:val="16"/>
        </w:rPr>
        <w:t xml:space="preserve">THE PROCESS</w:t>
      </w:r>
    </w:p>
    <w:p>
      <w:pPr>
        <w:pStyle w:val="Heading1"/>
        <w:spacing w:after="160" w:before="280"/>
      </w:pPr>
      <w:r>
        <w:rPr>
          <w:rFonts w:ascii="Garamond" w:cs="Garamond" w:eastAsia="Garamond" w:hAnsi="Garamond"/>
          <w:b/>
          <w:bCs/>
          <w:color w:val="173F35"/>
          <w:sz w:val="40"/>
          <w:szCs w:val="40"/>
        </w:rPr>
        <w:t xml:space="preserve">A Seven-Step Path from Scope to Signature</w:t>
      </w:r>
    </w:p>
    <w:p>
      <w:pPr>
        <w:pBdr>
          <w:bottom w:val="single" w:color="C9A24A" w:sz="8" w:space="1"/>
        </w:pBdr>
        <w:spacing w:after="120" w:before="80"/>
      </w:pPr>
      <w:r>
        <w:t xml:space="preserve"/>
      </w:r>
    </w:p>
    <w:p>
      <w:pPr>
        <w:spacing w:after="160" w:before="0" w:line="320"/>
        <w:jc w:val="left"/>
      </w:pPr>
      <w:r>
        <w:rPr>
          <w:rFonts w:ascii="Lato" w:cs="Lato" w:eastAsia="Lato" w:hAnsi="Lato"/>
          <w:color w:val="1A1A1A"/>
          <w:sz w:val="22"/>
          <w:szCs w:val="22"/>
        </w:rPr>
        <w:t xml:space="preserve">This sequence assumes a 35- to 60-day calendar, scaled by service complexity. Use it as a checklist. Each step ties to a section of the companion RFP Template.</w:t>
      </w:r>
    </w:p>
    <w:p>
      <w:pPr>
        <w:pStyle w:val="ListParagraph"/>
        <w:numPr>
          <w:ilvl w:val="0"/>
          <w:numId w:val="2"/>
        </w:numPr>
        <w:spacing w:after="100" w:before="60" w:line="300"/>
      </w:pPr>
      <w:r>
        <w:rPr>
          <w:rFonts w:ascii="Lato" w:cs="Lato" w:eastAsia="Lato" w:hAnsi="Lato"/>
          <w:color w:val="1A1A1A"/>
          <w:sz w:val="22"/>
          <w:szCs w:val="22"/>
        </w:rPr>
        <w:t xml:space="preserve">Confirm the budget and authority. Verify the line item exists in the current operating budget, and confirm under the Bylaws and applicable state law that the Board has authority to award this contract without member vote (most Tier 1/2 contracts do, but very long terms or large dollar values may require a member vote in your governing documents).</w:t>
      </w:r>
    </w:p>
    <w:p>
      <w:pPr>
        <w:pStyle w:val="ListParagraph"/>
        <w:numPr>
          <w:ilvl w:val="0"/>
          <w:numId w:val="2"/>
        </w:numPr>
        <w:spacing w:after="100" w:before="60" w:line="300"/>
      </w:pPr>
      <w:r>
        <w:rPr>
          <w:rFonts w:ascii="Lato" w:cs="Lato" w:eastAsia="Lato" w:hAnsi="Lato"/>
          <w:color w:val="1A1A1A"/>
          <w:sz w:val="22"/>
          <w:szCs w:val="22"/>
        </w:rPr>
        <w:t xml:space="preserve">Write the Statement of Work. Describe outcomes — what good looks like — not methods. Specify frequency and observable quality standards (e.g., turf height range, water clarity reading, response time). Attach a property map and any relevant existing documentation.</w:t>
      </w:r>
    </w:p>
    <w:p>
      <w:pPr>
        <w:pStyle w:val="ListParagraph"/>
        <w:numPr>
          <w:ilvl w:val="0"/>
          <w:numId w:val="2"/>
        </w:numPr>
        <w:spacing w:after="100" w:before="60" w:line="300"/>
      </w:pPr>
      <w:r>
        <w:rPr>
          <w:rFonts w:ascii="Lato" w:cs="Lato" w:eastAsia="Lato" w:hAnsi="Lato"/>
          <w:color w:val="1A1A1A"/>
          <w:sz w:val="22"/>
          <w:szCs w:val="22"/>
        </w:rPr>
        <w:t xml:space="preserve">Source bidders. Identify a minimum of three qualified vendors. CIC-SC recommends two regional incumbents and one fresh outreach to expand the comparison set. Verify licensing in your state for the service category before adding a vendor to the list.</w:t>
      </w:r>
    </w:p>
    <w:p>
      <w:pPr>
        <w:pStyle w:val="ListParagraph"/>
        <w:numPr>
          <w:ilvl w:val="0"/>
          <w:numId w:val="2"/>
        </w:numPr>
        <w:spacing w:after="100" w:before="60" w:line="300"/>
      </w:pPr>
      <w:r>
        <w:rPr>
          <w:rFonts w:ascii="Lato" w:cs="Lato" w:eastAsia="Lato" w:hAnsi="Lato"/>
          <w:color w:val="1A1A1A"/>
          <w:sz w:val="22"/>
          <w:szCs w:val="22"/>
        </w:rPr>
        <w:t xml:space="preserve">Issue the RFP. Use the template. Set the schedule with at least 14 days between Release and Proposals Due, plus an additional 14–21 days for evaluation and negotiation. Run a mandatory site visit for any property-specific scope (landscape, pool, exterior pest).</w:t>
      </w:r>
    </w:p>
    <w:p>
      <w:pPr>
        <w:pStyle w:val="ListParagraph"/>
        <w:numPr>
          <w:ilvl w:val="0"/>
          <w:numId w:val="2"/>
        </w:numPr>
        <w:spacing w:after="100" w:before="60" w:line="300"/>
      </w:pPr>
      <w:r>
        <w:rPr>
          <w:rFonts w:ascii="Lato" w:cs="Lato" w:eastAsia="Lato" w:hAnsi="Lato"/>
          <w:color w:val="1A1A1A"/>
          <w:sz w:val="22"/>
          <w:szCs w:val="22"/>
        </w:rPr>
        <w:t xml:space="preserve">Manage the Q&amp;A. Direct all questions to one written address. Distribute responses to all known bidders simultaneously. Phone questions are not answered. Fairness here protects the integrity of the entire process.</w:t>
      </w:r>
    </w:p>
    <w:p>
      <w:pPr>
        <w:pStyle w:val="ListParagraph"/>
        <w:numPr>
          <w:ilvl w:val="0"/>
          <w:numId w:val="2"/>
        </w:numPr>
        <w:spacing w:after="100" w:before="60" w:line="300"/>
      </w:pPr>
      <w:r>
        <w:rPr>
          <w:rFonts w:ascii="Lato" w:cs="Lato" w:eastAsia="Lato" w:hAnsi="Lato"/>
          <w:color w:val="1A1A1A"/>
          <w:sz w:val="22"/>
          <w:szCs w:val="22"/>
        </w:rPr>
        <w:t xml:space="preserve">Evaluate uniformly. Use the Comparative Proposal Evaluation Worksheet. Pass/fail the threshold criteria first (insurance, licensing, references, scope completeness). Then compare price among the technically acceptable proposals. Document scores in writing.</w:t>
      </w:r>
    </w:p>
    <w:p>
      <w:pPr>
        <w:pStyle w:val="ListParagraph"/>
        <w:numPr>
          <w:ilvl w:val="0"/>
          <w:numId w:val="2"/>
        </w:numPr>
        <w:spacing w:after="100" w:before="60" w:line="300"/>
      </w:pPr>
      <w:r>
        <w:rPr>
          <w:rFonts w:ascii="Lato" w:cs="Lato" w:eastAsia="Lato" w:hAnsi="Lato"/>
          <w:color w:val="1A1A1A"/>
          <w:sz w:val="22"/>
          <w:szCs w:val="22"/>
        </w:rPr>
        <w:t xml:space="preserve">Award and contract. Issue a written Notice of Intent to Award. Negotiate any open items. Execute a written services agreement that mirrors the RFP — same scope, same insurance, same termination rights. Save the entire file with the meeting minutes that record the award.</w:t>
      </w:r>
    </w:p>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BUILD IT INTO THE CALENDAR</w:t>
            </w:r>
          </w:p>
          <w:p>
            <w:pPr>
              <w:spacing w:after="0" w:before="0" w:line="300"/>
              <w:jc w:val="left"/>
            </w:pPr>
            <w:r>
              <w:rPr>
                <w:rFonts w:ascii="Lato" w:cs="Lato" w:eastAsia="Lato" w:hAnsi="Lato"/>
                <w:color w:val="1A1A1A"/>
                <w:sz w:val="22"/>
                <w:szCs w:val="22"/>
              </w:rPr>
              <w:t xml:space="preserve">Tier 1/2 service contracts are typically rebid on a three-year cycle. Add the rebid milestone to the Annual Operations Calendar so the next board does not inherit an expired or auto-renewing contract. Use the standing first-quarter board meeting to set the year’s rebid list.</w:t>
            </w:r>
          </w:p>
        </w:tc>
      </w:tr>
    </w:tbl>
    <w:p>
      <w:r>
        <w:br w:type="page"/>
      </w:r>
    </w:p>
    <w:p>
      <w:pPr>
        <w:spacing w:after="60" w:before="0"/>
      </w:pPr>
      <w:r>
        <w:rPr>
          <w:rFonts w:ascii="Lato" w:cs="Lato" w:eastAsia="Lato" w:hAnsi="Lato"/>
          <w:b/>
          <w:bCs/>
          <w:color w:val="C9A24A"/>
          <w:spacing w:val="100"/>
          <w:sz w:val="16"/>
          <w:szCs w:val="16"/>
        </w:rPr>
        <w:t xml:space="preserve">SOURCING</w:t>
      </w:r>
    </w:p>
    <w:p>
      <w:pPr>
        <w:pStyle w:val="Heading1"/>
        <w:spacing w:after="160" w:before="280"/>
      </w:pPr>
      <w:r>
        <w:rPr>
          <w:rFonts w:ascii="Garamond" w:cs="Garamond" w:eastAsia="Garamond" w:hAnsi="Garamond"/>
          <w:b/>
          <w:bCs/>
          <w:color w:val="173F35"/>
          <w:sz w:val="40"/>
          <w:szCs w:val="40"/>
        </w:rPr>
        <w:t xml:space="preserve">Building the Bidder List</w:t>
      </w:r>
    </w:p>
    <w:p>
      <w:pPr>
        <w:pBdr>
          <w:bottom w:val="single" w:color="C9A24A" w:sz="8" w:space="1"/>
        </w:pBdr>
        <w:spacing w:after="120" w:before="80"/>
      </w:pPr>
      <w:r>
        <w:t xml:space="preserve"/>
      </w:r>
    </w:p>
    <w:p>
      <w:pPr>
        <w:spacing w:after="120" w:before="0" w:line="320"/>
        <w:jc w:val="left"/>
      </w:pPr>
      <w:r>
        <w:rPr>
          <w:rFonts w:ascii="Lato" w:cs="Lato" w:eastAsia="Lato" w:hAnsi="Lato"/>
          <w:color w:val="1A1A1A"/>
          <w:sz w:val="22"/>
          <w:szCs w:val="22"/>
        </w:rPr>
        <w:t xml:space="preserve">The single highest-leverage decision in any RFP is who you invite to bid. A list of three vendors who all employ the same regional sales manager produces three nearly identical proposals; a list that mixes a regional incumbent, a national firm, and a hungry local upstart produces a meaningful comparison.</w:t>
      </w:r>
    </w:p>
    <w:p>
      <w:pPr>
        <w:pStyle w:val="Heading3"/>
        <w:spacing w:after="160" w:before="280"/>
      </w:pPr>
      <w:r>
        <w:rPr>
          <w:rFonts w:ascii="Garamond" w:cs="Garamond" w:eastAsia="Garamond" w:hAnsi="Garamond"/>
          <w:b/>
          <w:bCs/>
          <w:color w:val="173F35"/>
          <w:sz w:val="26"/>
          <w:szCs w:val="26"/>
        </w:rPr>
        <w:t xml:space="preserve">Where to find qualified bidders</w:t>
      </w:r>
    </w:p>
    <w:p>
      <w:pPr>
        <w:pStyle w:val="ListParagraph"/>
        <w:numPr>
          <w:ilvl w:val="0"/>
          <w:numId w:val="3"/>
        </w:numPr>
        <w:spacing w:after="60" w:before="40" w:line="290"/>
      </w:pPr>
      <w:r>
        <w:rPr>
          <w:rFonts w:ascii="Lato" w:cs="Lato" w:eastAsia="Lato" w:hAnsi="Lato"/>
          <w:color w:val="1A1A1A"/>
          <w:sz w:val="22"/>
          <w:szCs w:val="22"/>
        </w:rPr>
        <w:t xml:space="preserve">Existing vendor relationships across adjacent service categories — your janitorial vendor often knows the local pest, pool, and trash market and will refer.</w:t>
      </w:r>
    </w:p>
    <w:p>
      <w:pPr>
        <w:pStyle w:val="ListParagraph"/>
        <w:numPr>
          <w:ilvl w:val="0"/>
          <w:numId w:val="3"/>
        </w:numPr>
        <w:spacing w:after="60" w:before="40" w:line="290"/>
      </w:pPr>
      <w:r>
        <w:rPr>
          <w:rFonts w:ascii="Lato" w:cs="Lato" w:eastAsia="Lato" w:hAnsi="Lato"/>
          <w:color w:val="1A1A1A"/>
          <w:sz w:val="22"/>
          <w:szCs w:val="22"/>
        </w:rPr>
        <w:t xml:space="preserve">Other associations in your region. Most managers are happy to share which vendors they would and would not invite back.</w:t>
      </w:r>
    </w:p>
    <w:p>
      <w:pPr>
        <w:pStyle w:val="ListParagraph"/>
        <w:numPr>
          <w:ilvl w:val="0"/>
          <w:numId w:val="3"/>
        </w:numPr>
        <w:spacing w:after="60" w:before="40" w:line="290"/>
      </w:pPr>
      <w:r>
        <w:rPr>
          <w:rFonts w:ascii="Lato" w:cs="Lato" w:eastAsia="Lato" w:hAnsi="Lato"/>
          <w:color w:val="1A1A1A"/>
          <w:sz w:val="22"/>
          <w:szCs w:val="22"/>
        </w:rPr>
        <w:t xml:space="preserve">State licensing databases — for example, the Texas Department of Agriculture (pesticide applicators), the Florida Department of Business and Professional Regulation (pool service licensing), and similar state authorities for landscape and other categories.</w:t>
      </w:r>
    </w:p>
    <w:p>
      <w:pPr>
        <w:pStyle w:val="ListParagraph"/>
        <w:numPr>
          <w:ilvl w:val="0"/>
          <w:numId w:val="3"/>
        </w:numPr>
        <w:spacing w:after="60" w:before="40" w:line="290"/>
      </w:pPr>
      <w:r>
        <w:rPr>
          <w:rFonts w:ascii="Lato" w:cs="Lato" w:eastAsia="Lato" w:hAnsi="Lato"/>
          <w:color w:val="1A1A1A"/>
          <w:sz w:val="22"/>
          <w:szCs w:val="22"/>
        </w:rPr>
        <w:t xml:space="preserve">Regional trade publications and small-business directories.</w:t>
      </w:r>
    </w:p>
    <w:p>
      <w:pPr>
        <w:pStyle w:val="ListParagraph"/>
        <w:numPr>
          <w:ilvl w:val="0"/>
          <w:numId w:val="3"/>
        </w:numPr>
        <w:spacing w:after="60" w:before="40" w:line="290"/>
      </w:pPr>
      <w:r>
        <w:rPr>
          <w:rFonts w:ascii="Lato" w:cs="Lato" w:eastAsia="Lato" w:hAnsi="Lato"/>
          <w:color w:val="1A1A1A"/>
          <w:sz w:val="22"/>
          <w:szCs w:val="22"/>
        </w:rPr>
        <w:t xml:space="preserve">Targeted cold outreach to a vendor outside the local sphere — a national or franchise operator can shake loose pricing assumptions even if they do not win.</w:t>
      </w:r>
    </w:p>
    <w:p>
      <w:pPr>
        <w:pStyle w:val="Heading3"/>
        <w:spacing w:after="160" w:before="280"/>
      </w:pPr>
      <w:r>
        <w:rPr>
          <w:rFonts w:ascii="Garamond" w:cs="Garamond" w:eastAsia="Garamond" w:hAnsi="Garamond"/>
          <w:b/>
          <w:bCs/>
          <w:color w:val="173F35"/>
          <w:sz w:val="26"/>
          <w:szCs w:val="26"/>
        </w:rPr>
        <w:t xml:space="preserve">Pre-qualify before invitation</w:t>
      </w:r>
    </w:p>
    <w:p>
      <w:pPr>
        <w:pStyle w:val="ListParagraph"/>
        <w:numPr>
          <w:ilvl w:val="0"/>
          <w:numId w:val="3"/>
        </w:numPr>
        <w:spacing w:after="60" w:before="40" w:line="290"/>
      </w:pPr>
      <w:r>
        <w:rPr>
          <w:rFonts w:ascii="Lato" w:cs="Lato" w:eastAsia="Lato" w:hAnsi="Lato"/>
          <w:color w:val="1A1A1A"/>
          <w:sz w:val="22"/>
          <w:szCs w:val="22"/>
        </w:rPr>
        <w:t xml:space="preserve">Verify state licensing for the service category.</w:t>
      </w:r>
    </w:p>
    <w:p>
      <w:pPr>
        <w:pStyle w:val="ListParagraph"/>
        <w:numPr>
          <w:ilvl w:val="0"/>
          <w:numId w:val="3"/>
        </w:numPr>
        <w:spacing w:after="60" w:before="40" w:line="290"/>
      </w:pPr>
      <w:r>
        <w:rPr>
          <w:rFonts w:ascii="Lato" w:cs="Lato" w:eastAsia="Lato" w:hAnsi="Lato"/>
          <w:color w:val="1A1A1A"/>
          <w:sz w:val="22"/>
          <w:szCs w:val="22"/>
        </w:rPr>
        <w:t xml:space="preserve">Confirm the vendor will agree to the insurance coverage required by Section 9 of the RFP Template.</w:t>
      </w:r>
    </w:p>
    <w:p>
      <w:pPr>
        <w:pStyle w:val="ListParagraph"/>
        <w:numPr>
          <w:ilvl w:val="0"/>
          <w:numId w:val="3"/>
        </w:numPr>
        <w:spacing w:after="60" w:before="40" w:line="290"/>
      </w:pPr>
      <w:r>
        <w:rPr>
          <w:rFonts w:ascii="Lato" w:cs="Lato" w:eastAsia="Lato" w:hAnsi="Lato"/>
          <w:color w:val="1A1A1A"/>
          <w:sz w:val="22"/>
          <w:szCs w:val="22"/>
        </w:rPr>
        <w:t xml:space="preserve">Check publicly available reviews and complaints; for Texas, the Texas Comptroller and BBB; for Florida, the Department of Business and Professional Regulation and the Office of the Attorney General.</w:t>
      </w:r>
    </w:p>
    <w:p>
      <w:pPr>
        <w:pStyle w:val="ListParagraph"/>
        <w:numPr>
          <w:ilvl w:val="0"/>
          <w:numId w:val="3"/>
        </w:numPr>
        <w:spacing w:after="60" w:before="40" w:line="290"/>
      </w:pPr>
      <w:r>
        <w:rPr>
          <w:rFonts w:ascii="Lato" w:cs="Lato" w:eastAsia="Lato" w:hAnsi="Lato"/>
          <w:color w:val="1A1A1A"/>
          <w:sz w:val="22"/>
          <w:szCs w:val="22"/>
        </w:rPr>
        <w:t xml:space="preserve">Disqualify any vendor with an undisclosed relationship to a current Director, Officer, Committee Member, or Manager — disclose under the Code of Ethics and follow your state’s conflict-of-interest procedures.</w:t>
      </w:r>
    </w:p>
    <w:p>
      <w:r>
        <w:br w:type="page"/>
      </w:r>
    </w:p>
    <w:p>
      <w:pPr>
        <w:spacing w:after="60" w:before="0"/>
      </w:pPr>
      <w:r>
        <w:rPr>
          <w:rFonts w:ascii="Lato" w:cs="Lato" w:eastAsia="Lato" w:hAnsi="Lato"/>
          <w:b/>
          <w:bCs/>
          <w:color w:val="C9A24A"/>
          <w:spacing w:val="100"/>
          <w:sz w:val="16"/>
          <w:szCs w:val="16"/>
        </w:rPr>
        <w:t xml:space="preserve">EVALUATION</w:t>
      </w:r>
    </w:p>
    <w:p>
      <w:pPr>
        <w:pStyle w:val="Heading1"/>
        <w:spacing w:after="160" w:before="280"/>
      </w:pPr>
      <w:r>
        <w:rPr>
          <w:rFonts w:ascii="Garamond" w:cs="Garamond" w:eastAsia="Garamond" w:hAnsi="Garamond"/>
          <w:b/>
          <w:bCs/>
          <w:color w:val="173F35"/>
          <w:sz w:val="40"/>
          <w:szCs w:val="40"/>
        </w:rPr>
        <w:t xml:space="preserve">Comparing Apples to Apples</w:t>
      </w:r>
    </w:p>
    <w:p>
      <w:pPr>
        <w:pBdr>
          <w:bottom w:val="single" w:color="C9A24A" w:sz="8" w:space="1"/>
        </w:pBdr>
        <w:spacing w:after="120" w:before="80"/>
      </w:pPr>
      <w:r>
        <w:t xml:space="preserve"/>
      </w:r>
    </w:p>
    <w:p>
      <w:pPr>
        <w:spacing w:after="120" w:before="0" w:line="320"/>
        <w:jc w:val="left"/>
      </w:pPr>
      <w:r>
        <w:rPr>
          <w:rFonts w:ascii="Lato" w:cs="Lato" w:eastAsia="Lato" w:hAnsi="Lato"/>
          <w:color w:val="1A1A1A"/>
          <w:sz w:val="22"/>
          <w:szCs w:val="22"/>
        </w:rPr>
        <w:t xml:space="preserve">Do not score price first. Score completeness and qualifications first; price is only meaningful among proposals that meet the threshold standards. The CIC-SC Comparative Proposal Evaluation Worksheet operationalizes this discipline.</w:t>
      </w:r>
    </w:p>
    <w:p>
      <w:pPr>
        <w:pStyle w:val="Heading3"/>
        <w:spacing w:after="160" w:before="280"/>
      </w:pPr>
      <w:r>
        <w:rPr>
          <w:rFonts w:ascii="Garamond" w:cs="Garamond" w:eastAsia="Garamond" w:hAnsi="Garamond"/>
          <w:b/>
          <w:bCs/>
          <w:color w:val="173F35"/>
          <w:sz w:val="26"/>
          <w:szCs w:val="26"/>
        </w:rPr>
        <w:t xml:space="preserve">Threshold criteria (pass / fail)</w:t>
      </w:r>
    </w:p>
    <w:p>
      <w:pPr>
        <w:pStyle w:val="ListParagraph"/>
        <w:numPr>
          <w:ilvl w:val="0"/>
          <w:numId w:val="3"/>
        </w:numPr>
        <w:spacing w:after="60" w:before="40" w:line="290"/>
      </w:pPr>
      <w:r>
        <w:rPr>
          <w:rFonts w:ascii="Lato" w:cs="Lato" w:eastAsia="Lato" w:hAnsi="Lato"/>
          <w:color w:val="1A1A1A"/>
          <w:sz w:val="22"/>
          <w:szCs w:val="22"/>
        </w:rPr>
        <w:t xml:space="preserve">Insurance certificate evidences the limits required in Section 9 of the RFP.</w:t>
      </w:r>
    </w:p>
    <w:p>
      <w:pPr>
        <w:pStyle w:val="ListParagraph"/>
        <w:numPr>
          <w:ilvl w:val="0"/>
          <w:numId w:val="3"/>
        </w:numPr>
        <w:spacing w:after="60" w:before="40" w:line="290"/>
      </w:pPr>
      <w:r>
        <w:rPr>
          <w:rFonts w:ascii="Lato" w:cs="Lato" w:eastAsia="Lato" w:hAnsi="Lato"/>
          <w:color w:val="1A1A1A"/>
          <w:sz w:val="22"/>
          <w:szCs w:val="22"/>
        </w:rPr>
        <w:t xml:space="preserve">All required forms submitted, signed, and complete (Vendor Information, Past Performance, Bid Sheet, Affidavit).</w:t>
      </w:r>
    </w:p>
    <w:p>
      <w:pPr>
        <w:pStyle w:val="ListParagraph"/>
        <w:numPr>
          <w:ilvl w:val="0"/>
          <w:numId w:val="3"/>
        </w:numPr>
        <w:spacing w:after="60" w:before="40" w:line="290"/>
      </w:pPr>
      <w:r>
        <w:rPr>
          <w:rFonts w:ascii="Lato" w:cs="Lato" w:eastAsia="Lato" w:hAnsi="Lato"/>
          <w:color w:val="1A1A1A"/>
          <w:sz w:val="22"/>
          <w:szCs w:val="22"/>
        </w:rPr>
        <w:t xml:space="preserve">Three references provided, all reachable, all confirming satisfactory performance.</w:t>
      </w:r>
    </w:p>
    <w:p>
      <w:pPr>
        <w:pStyle w:val="ListParagraph"/>
        <w:numPr>
          <w:ilvl w:val="0"/>
          <w:numId w:val="3"/>
        </w:numPr>
        <w:spacing w:after="60" w:before="40" w:line="290"/>
      </w:pPr>
      <w:r>
        <w:rPr>
          <w:rFonts w:ascii="Lato" w:cs="Lato" w:eastAsia="Lato" w:hAnsi="Lato"/>
          <w:color w:val="1A1A1A"/>
          <w:sz w:val="22"/>
          <w:szCs w:val="22"/>
        </w:rPr>
        <w:t xml:space="preserve">Vendor licensed for the scope in your state.</w:t>
      </w:r>
    </w:p>
    <w:p>
      <w:pPr>
        <w:pStyle w:val="ListParagraph"/>
        <w:numPr>
          <w:ilvl w:val="0"/>
          <w:numId w:val="3"/>
        </w:numPr>
        <w:spacing w:after="60" w:before="40" w:line="290"/>
      </w:pPr>
      <w:r>
        <w:rPr>
          <w:rFonts w:ascii="Lato" w:cs="Lato" w:eastAsia="Lato" w:hAnsi="Lato"/>
          <w:color w:val="1A1A1A"/>
          <w:sz w:val="22"/>
          <w:szCs w:val="22"/>
        </w:rPr>
        <w:t xml:space="preserve">No undisclosed conflict of interest with the Board, Officers, Committee, or Manager.</w:t>
      </w:r>
    </w:p>
    <w:p>
      <w:pPr>
        <w:pStyle w:val="Heading3"/>
        <w:spacing w:after="160" w:before="280"/>
      </w:pPr>
      <w:r>
        <w:rPr>
          <w:rFonts w:ascii="Garamond" w:cs="Garamond" w:eastAsia="Garamond" w:hAnsi="Garamond"/>
          <w:b/>
          <w:bCs/>
          <w:color w:val="173F35"/>
          <w:sz w:val="26"/>
          <w:szCs w:val="26"/>
        </w:rPr>
        <w:t xml:space="preserve">Comparison criteria (compare among acceptable bidders)</w:t>
      </w:r>
    </w:p>
    <w:p>
      <w:pPr>
        <w:pStyle w:val="ListParagraph"/>
        <w:numPr>
          <w:ilvl w:val="0"/>
          <w:numId w:val="3"/>
        </w:numPr>
        <w:spacing w:after="60" w:before="40" w:line="290"/>
      </w:pPr>
      <w:r>
        <w:rPr>
          <w:rFonts w:ascii="Lato" w:cs="Lato" w:eastAsia="Lato" w:hAnsi="Lato"/>
          <w:color w:val="1A1A1A"/>
          <w:sz w:val="22"/>
          <w:szCs w:val="22"/>
        </w:rPr>
        <w:t xml:space="preserve">Total annualized price (Bid Sheet, all-inclusive).</w:t>
      </w:r>
    </w:p>
    <w:p>
      <w:pPr>
        <w:pStyle w:val="ListParagraph"/>
        <w:numPr>
          <w:ilvl w:val="0"/>
          <w:numId w:val="3"/>
        </w:numPr>
        <w:spacing w:after="60" w:before="40" w:line="290"/>
      </w:pPr>
      <w:r>
        <w:rPr>
          <w:rFonts w:ascii="Lato" w:cs="Lato" w:eastAsia="Lato" w:hAnsi="Lato"/>
          <w:color w:val="1A1A1A"/>
          <w:sz w:val="22"/>
          <w:szCs w:val="22"/>
        </w:rPr>
        <w:t xml:space="preserve">As-needed labor rate.</w:t>
      </w:r>
    </w:p>
    <w:p>
      <w:pPr>
        <w:pStyle w:val="ListParagraph"/>
        <w:numPr>
          <w:ilvl w:val="0"/>
          <w:numId w:val="3"/>
        </w:numPr>
        <w:spacing w:after="60" w:before="40" w:line="290"/>
      </w:pPr>
      <w:r>
        <w:rPr>
          <w:rFonts w:ascii="Lato" w:cs="Lato" w:eastAsia="Lato" w:hAnsi="Lato"/>
          <w:color w:val="1A1A1A"/>
          <w:sz w:val="22"/>
          <w:szCs w:val="22"/>
        </w:rPr>
        <w:t xml:space="preserve">Materials / pass-through markup percentage.</w:t>
      </w:r>
    </w:p>
    <w:p>
      <w:pPr>
        <w:pStyle w:val="ListParagraph"/>
        <w:numPr>
          <w:ilvl w:val="0"/>
          <w:numId w:val="3"/>
        </w:numPr>
        <w:spacing w:after="60" w:before="40" w:line="290"/>
      </w:pPr>
      <w:r>
        <w:rPr>
          <w:rFonts w:ascii="Lato" w:cs="Lato" w:eastAsia="Lato" w:hAnsi="Lato"/>
          <w:color w:val="1A1A1A"/>
          <w:sz w:val="22"/>
          <w:szCs w:val="22"/>
        </w:rPr>
        <w:t xml:space="preserve">Strength of management approach narrative.</w:t>
      </w:r>
    </w:p>
    <w:p>
      <w:pPr>
        <w:pStyle w:val="ListParagraph"/>
        <w:numPr>
          <w:ilvl w:val="0"/>
          <w:numId w:val="3"/>
        </w:numPr>
        <w:spacing w:after="60" w:before="40" w:line="290"/>
      </w:pPr>
      <w:r>
        <w:rPr>
          <w:rFonts w:ascii="Lato" w:cs="Lato" w:eastAsia="Lato" w:hAnsi="Lato"/>
          <w:color w:val="1A1A1A"/>
          <w:sz w:val="22"/>
          <w:szCs w:val="22"/>
        </w:rPr>
        <w:t xml:space="preserve">Financial stability and depth of crew.</w:t>
      </w:r>
    </w:p>
    <w:p>
      <w:pPr>
        <w:pStyle w:val="ListParagraph"/>
        <w:numPr>
          <w:ilvl w:val="0"/>
          <w:numId w:val="3"/>
        </w:numPr>
        <w:spacing w:after="60" w:before="40" w:line="290"/>
      </w:pPr>
      <w:r>
        <w:rPr>
          <w:rFonts w:ascii="Lato" w:cs="Lato" w:eastAsia="Lato" w:hAnsi="Lato"/>
          <w:color w:val="1A1A1A"/>
          <w:sz w:val="22"/>
          <w:szCs w:val="22"/>
        </w:rPr>
        <w:t xml:space="preserve">Quality assurance and complaint-resolution process.</w:t>
      </w:r>
    </w:p>
    <w:p>
      <w:pPr>
        <w:pStyle w:val="Heading3"/>
        <w:spacing w:after="160" w:before="280"/>
      </w:pPr>
      <w:r>
        <w:rPr>
          <w:rFonts w:ascii="Garamond" w:cs="Garamond" w:eastAsia="Garamond" w:hAnsi="Garamond"/>
          <w:b/>
          <w:bCs/>
          <w:color w:val="173F35"/>
          <w:sz w:val="26"/>
          <w:szCs w:val="26"/>
        </w:rPr>
        <w:t xml:space="preserve">Make the decision a meeting</w:t>
      </w:r>
    </w:p>
    <w:p>
      <w:pPr>
        <w:spacing w:after="200" w:before="0" w:line="320"/>
        <w:jc w:val="left"/>
      </w:pPr>
      <w:r>
        <w:rPr>
          <w:rFonts w:ascii="Lato" w:cs="Lato" w:eastAsia="Lato" w:hAnsi="Lato"/>
          <w:color w:val="1A1A1A"/>
          <w:sz w:val="22"/>
          <w:szCs w:val="22"/>
        </w:rPr>
        <w:t xml:space="preserve">The award decision is a Board action. Place it on the agenda of a properly noticed open meeting, present the comparison summary, accept any disclosures or recusals required by the Code of Ethics, take the vote, and record the result in the minutes. A clean meeting record is the strongest possible defense if the award is ever questioned.</w:t>
      </w:r>
    </w:p>
    <w:p>
      <w:r>
        <w:br w:type="page"/>
      </w:r>
    </w:p>
    <w:p>
      <w:pPr>
        <w:spacing w:after="60" w:before="0"/>
      </w:pPr>
      <w:r>
        <w:rPr>
          <w:rFonts w:ascii="Lato" w:cs="Lato" w:eastAsia="Lato" w:hAnsi="Lato"/>
          <w:b/>
          <w:bCs/>
          <w:color w:val="C9A24A"/>
          <w:spacing w:val="100"/>
          <w:sz w:val="16"/>
          <w:szCs w:val="16"/>
        </w:rPr>
        <w:t xml:space="preserve">COMMON MISTAKES</w:t>
      </w:r>
    </w:p>
    <w:p>
      <w:pPr>
        <w:pStyle w:val="Heading1"/>
        <w:spacing w:after="160" w:before="280"/>
      </w:pPr>
      <w:r>
        <w:rPr>
          <w:rFonts w:ascii="Garamond" w:cs="Garamond" w:eastAsia="Garamond" w:hAnsi="Garamond"/>
          <w:b/>
          <w:bCs/>
          <w:color w:val="173F35"/>
          <w:sz w:val="40"/>
          <w:szCs w:val="40"/>
        </w:rPr>
        <w:t xml:space="preserve">Pitfalls to Avoid</w:t>
      </w:r>
    </w:p>
    <w:p>
      <w:pPr>
        <w:pBdr>
          <w:bottom w:val="single" w:color="C9A24A" w:sz="8" w:space="1"/>
        </w:pBdr>
        <w:spacing w:after="12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MISTAKE 1 — SPECIFYING METHODS INSTEAD OF OUTCOMES</w:t>
            </w:r>
          </w:p>
          <w:p>
            <w:pPr>
              <w:spacing w:after="0" w:before="0" w:line="300"/>
              <w:jc w:val="left"/>
            </w:pPr>
            <w:r>
              <w:rPr>
                <w:rFonts w:ascii="Lato" w:cs="Lato" w:eastAsia="Lato" w:hAnsi="Lato"/>
                <w:color w:val="1A1A1A"/>
                <w:sz w:val="22"/>
                <w:szCs w:val="22"/>
              </w:rPr>
              <w:t xml:space="preserve">Telling a vendor exactly which mower to use, which chemical to apply, or which route to drive transfers operational risk to the Board. Specify the result you require — turf condition, pest count, water clarity — and let the vendor own the method.</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MISTAKE 2 — BIDDING ONLY THE INCUMBENT AND ONE OTHER</w:t>
            </w:r>
          </w:p>
          <w:p>
            <w:pPr>
              <w:spacing w:after="0" w:before="0" w:line="300"/>
              <w:jc w:val="left"/>
            </w:pPr>
            <w:r>
              <w:rPr>
                <w:rFonts w:ascii="Lato" w:cs="Lato" w:eastAsia="Lato" w:hAnsi="Lato"/>
                <w:color w:val="1A1A1A"/>
                <w:sz w:val="22"/>
                <w:szCs w:val="22"/>
              </w:rPr>
              <w:t xml:space="preserve">Two-bid solicitations almost always confirm whatever the Board already believed. A three-bid minimum, with at least one truly outside vendor, is the smallest set that produces a real comparison.</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MISTAKE 3 — SKIPPING THE SITE VISIT</w:t>
            </w:r>
          </w:p>
          <w:p>
            <w:pPr>
              <w:spacing w:after="0" w:before="0" w:line="300"/>
              <w:jc w:val="left"/>
            </w:pPr>
            <w:r>
              <w:rPr>
                <w:rFonts w:ascii="Lato" w:cs="Lato" w:eastAsia="Lato" w:hAnsi="Lato"/>
                <w:color w:val="1A1A1A"/>
                <w:sz w:val="22"/>
                <w:szCs w:val="22"/>
              </w:rPr>
              <w:t xml:space="preserve">For property-specific scopes (landscape, pool, exterior pest), a 30-minute site visit eliminates 90% of post-award disputes. Vendors price what they can see; bid sheets without a site visit are educated guesses.</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MISTAKE 4 — COMPARING APPLES TO BANANAS</w:t>
            </w:r>
          </w:p>
          <w:p>
            <w:pPr>
              <w:spacing w:after="0" w:before="0" w:line="300"/>
              <w:jc w:val="left"/>
            </w:pPr>
            <w:r>
              <w:rPr>
                <w:rFonts w:ascii="Lato" w:cs="Lato" w:eastAsia="Lato" w:hAnsi="Lato"/>
                <w:color w:val="1A1A1A"/>
                <w:sz w:val="22"/>
                <w:szCs w:val="22"/>
              </w:rPr>
              <w:t xml:space="preserve">If two bidders quote different scopes — one includes irrigation audits, one excludes them — you are not comparing prices, you are comparing scopes. Force every bidder to fill the same Bid Sheet rows. If a bidder excludes a service, require a reason and a price for adding it.</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MISTAKE 5 — LETTING A CONTRACT AUTO-RENEW WITHOUT A REBID</w:t>
            </w:r>
          </w:p>
          <w:p>
            <w:pPr>
              <w:spacing w:after="0" w:before="0" w:line="300"/>
              <w:jc w:val="left"/>
            </w:pPr>
            <w:r>
              <w:rPr>
                <w:rFonts w:ascii="Lato" w:cs="Lato" w:eastAsia="Lato" w:hAnsi="Lato"/>
                <w:color w:val="1A1A1A"/>
                <w:sz w:val="22"/>
                <w:szCs w:val="22"/>
              </w:rPr>
              <w:t xml:space="preserve">Three-year auto-renewals are convenient, but they almost always cost more than they save once the market shifts. Add the rebid milestone to your Annual Operations Calendar two contract cycles in advance.</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MISTAKE 6 — AWARDING TO A DIRECTOR’S RELATIVE WITHOUT PROCEDURE</w:t>
            </w:r>
          </w:p>
          <w:p>
            <w:pPr>
              <w:spacing w:after="0" w:before="0" w:line="300"/>
              <w:jc w:val="left"/>
            </w:pPr>
            <w:r>
              <w:rPr>
                <w:rFonts w:ascii="Lato" w:cs="Lato" w:eastAsia="Lato" w:hAnsi="Lato"/>
                <w:color w:val="1A1A1A"/>
                <w:sz w:val="22"/>
                <w:szCs w:val="22"/>
              </w:rPr>
              <w:t xml:space="preserve">In Florida, contracting with a director or relative carries a statutory rebuttable presumption of conflict and requires specific agenda, supermajority approval, and member-cancellation procedures (Fla. Stat. §§ 718.3027, 720.3033). In Texas, Tex. Bus. Orgs. Code § 22.230 prescribes its own disclosure and approval framework. Follow the procedure to the letter, or do not award.</w:t>
            </w:r>
          </w:p>
        </w:tc>
      </w:tr>
    </w:tbl>
    <w:p>
      <w:r>
        <w:br w:type="page"/>
      </w:r>
    </w:p>
    <w:p>
      <w:pPr>
        <w:spacing w:after="60" w:before="0"/>
      </w:pPr>
      <w:r>
        <w:rPr>
          <w:rFonts w:ascii="Lato" w:cs="Lato" w:eastAsia="Lato" w:hAnsi="Lato"/>
          <w:b/>
          <w:bCs/>
          <w:color w:val="C9A24A"/>
          <w:spacing w:val="100"/>
          <w:sz w:val="16"/>
          <w:szCs w:val="16"/>
        </w:rPr>
        <w:t xml:space="preserve">FREQUENTLY ASKED QUESTIONS</w:t>
      </w:r>
    </w:p>
    <w:p>
      <w:pPr>
        <w:pStyle w:val="Heading1"/>
        <w:spacing w:after="160" w:before="280"/>
      </w:pPr>
      <w:r>
        <w:rPr>
          <w:rFonts w:ascii="Garamond" w:cs="Garamond" w:eastAsia="Garamond" w:hAnsi="Garamond"/>
          <w:b/>
          <w:bCs/>
          <w:color w:val="173F35"/>
          <w:sz w:val="40"/>
          <w:szCs w:val="40"/>
        </w:rPr>
        <w:t xml:space="preserve">FAQs</w:t>
      </w:r>
    </w:p>
    <w:p>
      <w:pPr>
        <w:pBdr>
          <w:bottom w:val="single" w:color="C9A24A" w:sz="8" w:space="1"/>
        </w:pBdr>
        <w:spacing w:after="120" w:before="80"/>
      </w:pPr>
      <w:r>
        <w:t xml:space="preserve"/>
      </w:r>
    </w:p>
    <w:p>
      <w:pPr>
        <w:spacing w:after="60" w:before="200"/>
      </w:pPr>
      <w:r>
        <w:rPr>
          <w:rFonts w:ascii="Garamond" w:cs="Garamond" w:eastAsia="Garamond" w:hAnsi="Garamond"/>
          <w:b/>
          <w:bCs/>
          <w:color w:val="173F35"/>
          <w:sz w:val="26"/>
          <w:szCs w:val="26"/>
        </w:rPr>
        <w:t xml:space="preserve">Are we legally required to issue an RFP?</w:t>
      </w:r>
    </w:p>
    <w:p>
      <w:pPr>
        <w:spacing w:after="0" w:before="0" w:line="320"/>
        <w:jc w:val="left"/>
      </w:pPr>
      <w:r>
        <w:rPr>
          <w:rFonts w:ascii="Lato" w:cs="Lato" w:eastAsia="Lato" w:hAnsi="Lato"/>
          <w:color w:val="1A1A1A"/>
          <w:sz w:val="22"/>
          <w:szCs w:val="22"/>
        </w:rPr>
        <w:t xml:space="preserve">Neither Texas nor Florida statute imposes a uniform RFP requirement on every HOA or condominium contract. However, Florida § 718.3026 imposes specific written-bid requirements on certain condominium contracts above a statutory threshold. Many association governing documents and board policies also require RFPs for contracts over a defined dollar amount. Confirm with counsel before electing to skip an RFP.</w:t>
      </w:r>
    </w:p>
    <w:p>
      <w:pPr>
        <w:spacing w:after="60" w:before="200"/>
      </w:pPr>
      <w:r>
        <w:rPr>
          <w:rFonts w:ascii="Garamond" w:cs="Garamond" w:eastAsia="Garamond" w:hAnsi="Garamond"/>
          <w:b/>
          <w:bCs/>
          <w:color w:val="173F35"/>
          <w:sz w:val="26"/>
          <w:szCs w:val="26"/>
        </w:rPr>
        <w:t xml:space="preserve">How many bidders do we need?</w:t>
      </w:r>
    </w:p>
    <w:p>
      <w:pPr>
        <w:spacing w:after="0" w:before="0" w:line="320"/>
        <w:jc w:val="left"/>
      </w:pPr>
      <w:r>
        <w:rPr>
          <w:rFonts w:ascii="Lato" w:cs="Lato" w:eastAsia="Lato" w:hAnsi="Lato"/>
          <w:color w:val="1A1A1A"/>
          <w:sz w:val="22"/>
          <w:szCs w:val="22"/>
        </w:rPr>
        <w:t xml:space="preserve">Three is the practical minimum. Two-bid comparisons rarely surface meaningful pricing differences, and one-bid “sole source” awards are difficult to defend if challenged.</w:t>
      </w:r>
    </w:p>
    <w:p>
      <w:pPr>
        <w:spacing w:after="60" w:before="200"/>
      </w:pPr>
      <w:r>
        <w:rPr>
          <w:rFonts w:ascii="Garamond" w:cs="Garamond" w:eastAsia="Garamond" w:hAnsi="Garamond"/>
          <w:b/>
          <w:bCs/>
          <w:color w:val="173F35"/>
          <w:sz w:val="26"/>
          <w:szCs w:val="26"/>
        </w:rPr>
        <w:t xml:space="preserve">What if the incumbent is doing fine?</w:t>
      </w:r>
    </w:p>
    <w:p>
      <w:pPr>
        <w:spacing w:after="0" w:before="0" w:line="320"/>
        <w:jc w:val="left"/>
      </w:pPr>
      <w:r>
        <w:rPr>
          <w:rFonts w:ascii="Lato" w:cs="Lato" w:eastAsia="Lato" w:hAnsi="Lato"/>
          <w:color w:val="1A1A1A"/>
          <w:sz w:val="22"/>
          <w:szCs w:val="22"/>
        </w:rPr>
        <w:t xml:space="preserve">Re-bid anyway, on a three-year cycle. Even if the incumbent wins, the rebid resets pricing assumptions and gives the Board confidence that the contract is at market.</w:t>
      </w:r>
    </w:p>
    <w:p>
      <w:pPr>
        <w:spacing w:after="60" w:before="200"/>
      </w:pPr>
      <w:r>
        <w:rPr>
          <w:rFonts w:ascii="Garamond" w:cs="Garamond" w:eastAsia="Garamond" w:hAnsi="Garamond"/>
          <w:b/>
          <w:bCs/>
          <w:color w:val="173F35"/>
          <w:sz w:val="26"/>
          <w:szCs w:val="26"/>
        </w:rPr>
        <w:t xml:space="preserve">What if no one bids?</w:t>
      </w:r>
    </w:p>
    <w:p>
      <w:pPr>
        <w:spacing w:after="0" w:before="0" w:line="320"/>
        <w:jc w:val="left"/>
      </w:pPr>
      <w:r>
        <w:rPr>
          <w:rFonts w:ascii="Lato" w:cs="Lato" w:eastAsia="Lato" w:hAnsi="Lato"/>
          <w:color w:val="1A1A1A"/>
          <w:sz w:val="22"/>
          <w:szCs w:val="22"/>
        </w:rPr>
        <w:t xml:space="preserve">Reissue with a longer response window, additional outreach, and (if helpful) a paid advertising listing. If the second cycle still produces no qualified response, the Board may negotiate directly with one or more vendors — document the diligence and the rationale in the minutes.</w:t>
      </w:r>
    </w:p>
    <w:p>
      <w:pPr>
        <w:spacing w:after="60" w:before="200"/>
      </w:pPr>
      <w:r>
        <w:rPr>
          <w:rFonts w:ascii="Garamond" w:cs="Garamond" w:eastAsia="Garamond" w:hAnsi="Garamond"/>
          <w:b/>
          <w:bCs/>
          <w:color w:val="173F35"/>
          <w:sz w:val="26"/>
          <w:szCs w:val="26"/>
        </w:rPr>
        <w:t xml:space="preserve">Do we have to award to the lowest bid?</w:t>
      </w:r>
    </w:p>
    <w:p>
      <w:pPr>
        <w:spacing w:after="0" w:before="0" w:line="320"/>
        <w:jc w:val="left"/>
      </w:pPr>
      <w:r>
        <w:rPr>
          <w:rFonts w:ascii="Lato" w:cs="Lato" w:eastAsia="Lato" w:hAnsi="Lato"/>
          <w:color w:val="1A1A1A"/>
          <w:sz w:val="22"/>
          <w:szCs w:val="22"/>
        </w:rPr>
        <w:t xml:space="preserve">No. The standard articulated in the template is the lowest-priced, technically acceptable bidder. A higher-priced bid may win on the strength of references, depth of crew, financial stability, or other criteria — but the rationale must be documented before the vote.</w:t>
      </w:r>
    </w:p>
    <w:p>
      <w:pPr>
        <w:spacing w:after="60" w:before="200"/>
      </w:pPr>
      <w:r>
        <w:rPr>
          <w:rFonts w:ascii="Garamond" w:cs="Garamond" w:eastAsia="Garamond" w:hAnsi="Garamond"/>
          <w:b/>
          <w:bCs/>
          <w:color w:val="173F35"/>
          <w:sz w:val="26"/>
          <w:szCs w:val="26"/>
        </w:rPr>
        <w:t xml:space="preserve">What if a director has a relationship with a bidder?</w:t>
      </w:r>
    </w:p>
    <w:p>
      <w:pPr>
        <w:spacing w:after="0" w:before="0" w:line="320"/>
        <w:jc w:val="left"/>
      </w:pPr>
      <w:r>
        <w:rPr>
          <w:rFonts w:ascii="Lato" w:cs="Lato" w:eastAsia="Lato" w:hAnsi="Lato"/>
          <w:color w:val="1A1A1A"/>
          <w:sz w:val="22"/>
          <w:szCs w:val="22"/>
        </w:rPr>
        <w:t xml:space="preserve">Disclose under your Code of Ethics, recuse from deliberation and the vote, follow the agenda and supermajority procedures required by your state law (Florida §§ 718.3027 / 720.3033; Texas Bus. Orgs. § 22.230), and document everything in the meeting minutes.</w:t>
      </w:r>
    </w:p>
    <w:p>
      <w:pPr>
        <w:spacing w:after="60" w:before="200"/>
      </w:pPr>
      <w:r>
        <w:rPr>
          <w:rFonts w:ascii="Garamond" w:cs="Garamond" w:eastAsia="Garamond" w:hAnsi="Garamond"/>
          <w:b/>
          <w:bCs/>
          <w:color w:val="173F35"/>
          <w:sz w:val="26"/>
          <w:szCs w:val="26"/>
        </w:rPr>
        <w:t xml:space="preserve">Can the Manager run the RFP for the Board?</w:t>
      </w:r>
    </w:p>
    <w:p>
      <w:pPr>
        <w:spacing w:after="0" w:before="0" w:line="320"/>
        <w:jc w:val="left"/>
      </w:pPr>
      <w:r>
        <w:rPr>
          <w:rFonts w:ascii="Lato" w:cs="Lato" w:eastAsia="Lato" w:hAnsi="Lato"/>
          <w:color w:val="1A1A1A"/>
          <w:sz w:val="22"/>
          <w:szCs w:val="22"/>
        </w:rPr>
        <w:t xml:space="preserve">Yes. The Manager typically drafts the RFP and runs the process, but the Board owns the scope, the bidder list, and the award. Treat the Manager as the Association’s agent — not as a delegate of board judgment.</w:t>
      </w:r>
    </w:p>
    <w:p>
      <w:pPr>
        <w:spacing w:after="60" w:before="200"/>
      </w:pPr>
      <w:r>
        <w:rPr>
          <w:rFonts w:ascii="Garamond" w:cs="Garamond" w:eastAsia="Garamond" w:hAnsi="Garamond"/>
          <w:b/>
          <w:bCs/>
          <w:color w:val="173F35"/>
          <w:sz w:val="26"/>
          <w:szCs w:val="26"/>
        </w:rPr>
        <w:t xml:space="preserve">What about “best and final offer” negotiations?</w:t>
      </w:r>
    </w:p>
    <w:p>
      <w:pPr>
        <w:spacing w:after="0" w:before="0" w:line="320"/>
        <w:jc w:val="left"/>
      </w:pPr>
      <w:r>
        <w:rPr>
          <w:rFonts w:ascii="Lato" w:cs="Lato" w:eastAsia="Lato" w:hAnsi="Lato"/>
          <w:color w:val="1A1A1A"/>
          <w:sz w:val="22"/>
          <w:szCs w:val="22"/>
        </w:rPr>
        <w:t xml:space="preserve">Acceptable, provided the rules are uniform — every shortlisted bidder gets the same opportunity to revise their proposal in response to the same questions. Document the BAFO process in writing.</w:t>
      </w:r>
    </w:p>
    <w:p>
      <w:pPr>
        <w:spacing w:after="60" w:before="200"/>
      </w:pPr>
      <w:r>
        <w:rPr>
          <w:rFonts w:ascii="Garamond" w:cs="Garamond" w:eastAsia="Garamond" w:hAnsi="Garamond"/>
          <w:b/>
          <w:bCs/>
          <w:color w:val="173F35"/>
          <w:sz w:val="26"/>
          <w:szCs w:val="26"/>
        </w:rPr>
        <w:t xml:space="preserve">What contract should we use after award?</w:t>
      </w:r>
    </w:p>
    <w:p>
      <w:pPr>
        <w:spacing w:after="0" w:before="0" w:line="320"/>
        <w:jc w:val="left"/>
      </w:pPr>
      <w:r>
        <w:rPr>
          <w:rFonts w:ascii="Lato" w:cs="Lato" w:eastAsia="Lato" w:hAnsi="Lato"/>
          <w:color w:val="1A1A1A"/>
          <w:sz w:val="22"/>
          <w:szCs w:val="22"/>
        </w:rPr>
        <w:t xml:space="preserve">Use a written services agreement that mirrors the scope, insurance, and termination terms of the RFP. The CIC-SC Statement of Work Template (Tier 1/2) is the recommended companion contract.</w:t>
      </w:r>
    </w:p>
    <w:p>
      <w:pPr>
        <w:spacing w:after="60" w:before="200"/>
      </w:pPr>
      <w:r>
        <w:rPr>
          <w:rFonts w:ascii="Garamond" w:cs="Garamond" w:eastAsia="Garamond" w:hAnsi="Garamond"/>
          <w:b/>
          <w:bCs/>
          <w:color w:val="173F35"/>
          <w:sz w:val="26"/>
          <w:szCs w:val="26"/>
        </w:rPr>
        <w:t xml:space="preserve">How long should we keep the file?</w:t>
      </w:r>
    </w:p>
    <w:p>
      <w:pPr>
        <w:spacing w:after="0" w:before="0" w:line="320"/>
        <w:jc w:val="left"/>
      </w:pPr>
      <w:r>
        <w:rPr>
          <w:rFonts w:ascii="Lato" w:cs="Lato" w:eastAsia="Lato" w:hAnsi="Lato"/>
          <w:color w:val="1A1A1A"/>
          <w:sz w:val="22"/>
          <w:szCs w:val="22"/>
        </w:rPr>
        <w:t xml:space="preserve">At least seven (7) years, or longer if your governing documents or insurance carrier require. Keep the issuance, Q&amp;A, proposals, evaluation scores, recusal disclosures, award memo, and signed contract together as a single file.</w:t>
      </w:r>
    </w:p>
    <w:p>
      <w:r>
        <w:br w:type="page"/>
      </w:r>
    </w:p>
    <w:p>
      <w:pPr>
        <w:spacing w:after="60" w:before="0"/>
      </w:pPr>
      <w:r>
        <w:rPr>
          <w:rFonts w:ascii="Lato" w:cs="Lato" w:eastAsia="Lato" w:hAnsi="Lato"/>
          <w:b/>
          <w:bCs/>
          <w:color w:val="C9A24A"/>
          <w:spacing w:val="100"/>
          <w:sz w:val="16"/>
          <w:szCs w:val="16"/>
        </w:rPr>
        <w:t xml:space="preserve">STATE-SPECIFIC GUIDANCE</w:t>
      </w:r>
    </w:p>
    <w:p>
      <w:pPr>
        <w:pStyle w:val="Heading1"/>
        <w:spacing w:after="160" w:before="280"/>
      </w:pPr>
      <w:r>
        <w:rPr>
          <w:rFonts w:ascii="Garamond" w:cs="Garamond" w:eastAsia="Garamond" w:hAnsi="Garamond"/>
          <w:b/>
          <w:bCs/>
          <w:color w:val="173F35"/>
          <w:sz w:val="40"/>
          <w:szCs w:val="40"/>
        </w:rPr>
        <w:t xml:space="preserve">Texas &amp; Florida Considerations</w:t>
      </w:r>
    </w:p>
    <w:p>
      <w:pPr>
        <w:pBdr>
          <w:bottom w:val="single" w:color="C9A24A" w:sz="8" w:space="1"/>
        </w:pBdr>
        <w:spacing w:after="120" w:before="80"/>
      </w:pPr>
      <w:r>
        <w:t xml:space="preserve"/>
      </w:r>
    </w:p>
    <w:p>
      <w:pPr>
        <w:spacing w:after="200" w:before="0" w:line="300"/>
        <w:jc w:val="left"/>
      </w:pPr>
      <w:r>
        <w:rPr>
          <w:rFonts w:ascii="Lato" w:cs="Lato" w:eastAsia="Lato" w:hAnsi="Lato"/>
          <w:i/>
          <w:iCs/>
          <w:color w:val="5C5C5C"/>
          <w:sz w:val="22"/>
          <w:szCs w:val="22"/>
        </w:rPr>
        <w:t xml:space="preserve">High-level summary. Verify current effective text and amendment status with counsel before relying on any specific provision.</w:t>
      </w:r>
    </w:p>
    <w:p>
      <w:pPr>
        <w:pStyle w:val="Heading2"/>
        <w:spacing w:after="160" w:before="280"/>
      </w:pPr>
      <w:r>
        <w:rPr>
          <w:rFonts w:ascii="Garamond" w:cs="Garamond" w:eastAsia="Garamond" w:hAnsi="Garamond"/>
          <w:b/>
          <w:bCs/>
          <w:color w:val="173F35"/>
          <w:sz w:val="30"/>
          <w:szCs w:val="30"/>
        </w:rPr>
        <w:t xml:space="preserve">Texas</w:t>
      </w:r>
    </w:p>
    <w:p>
      <w:pPr>
        <w:pStyle w:val="ListParagraph"/>
        <w:numPr>
          <w:ilvl w:val="0"/>
          <w:numId w:val="3"/>
        </w:numPr>
        <w:spacing w:after="60" w:before="40" w:line="290"/>
      </w:pPr>
      <w:r>
        <w:rPr>
          <w:rFonts w:ascii="Lato" w:cs="Lato" w:eastAsia="Lato" w:hAnsi="Lato"/>
          <w:b/>
          <w:bCs/>
          <w:color w:val="173F35"/>
          <w:sz w:val="22"/>
          <w:szCs w:val="22"/>
        </w:rPr>
        <w:t xml:space="preserve">Tex. Prop. Code Ch. 209 </w:t>
      </w:r>
      <w:r>
        <w:rPr>
          <w:rFonts w:ascii="Lato" w:cs="Lato" w:eastAsia="Lato" w:hAnsi="Lato"/>
          <w:color w:val="1A1A1A"/>
          <w:sz w:val="22"/>
          <w:szCs w:val="22"/>
        </w:rPr>
        <w:t xml:space="preserve">(RPOPA) — open-meeting and notice requirements affect how the Board considers and votes on contract awards (§ 209.0051).</w:t>
      </w:r>
    </w:p>
    <w:p>
      <w:pPr>
        <w:pStyle w:val="ListParagraph"/>
        <w:numPr>
          <w:ilvl w:val="0"/>
          <w:numId w:val="3"/>
        </w:numPr>
        <w:spacing w:after="60" w:before="40" w:line="290"/>
      </w:pPr>
      <w:r>
        <w:rPr>
          <w:rFonts w:ascii="Lato" w:cs="Lato" w:eastAsia="Lato" w:hAnsi="Lato"/>
          <w:b/>
          <w:bCs/>
          <w:color w:val="173F35"/>
          <w:sz w:val="22"/>
          <w:szCs w:val="22"/>
        </w:rPr>
        <w:t xml:space="preserve">Tex. Bus. Orgs. Code § 22.230 </w:t>
      </w:r>
      <w:r>
        <w:rPr>
          <w:rFonts w:ascii="Lato" w:cs="Lato" w:eastAsia="Lato" w:hAnsi="Lato"/>
          <w:color w:val="1A1A1A"/>
          <w:sz w:val="22"/>
          <w:szCs w:val="22"/>
        </w:rPr>
        <w:t xml:space="preserve">— governs contracts and transactions involving interested directors, officers, and members of nonprofit corporations.</w:t>
      </w:r>
    </w:p>
    <w:p>
      <w:pPr>
        <w:pStyle w:val="ListParagraph"/>
        <w:numPr>
          <w:ilvl w:val="0"/>
          <w:numId w:val="3"/>
        </w:numPr>
        <w:spacing w:after="60" w:before="40" w:line="290"/>
      </w:pPr>
      <w:r>
        <w:rPr>
          <w:rFonts w:ascii="Lato" w:cs="Lato" w:eastAsia="Lato" w:hAnsi="Lato"/>
          <w:b/>
          <w:bCs/>
          <w:color w:val="173F35"/>
          <w:sz w:val="22"/>
          <w:szCs w:val="22"/>
        </w:rPr>
        <w:t xml:space="preserve">Tex. Prop. Code Ch. 53 </w:t>
      </w:r>
      <w:r>
        <w:rPr>
          <w:rFonts w:ascii="Lato" w:cs="Lato" w:eastAsia="Lato" w:hAnsi="Lato"/>
          <w:color w:val="1A1A1A"/>
          <w:sz w:val="22"/>
          <w:szCs w:val="22"/>
        </w:rPr>
        <w:t xml:space="preserve">— Texas mechanic’s lien statutes; relevant for contracts giving rise to lien rights, especially in landscape and capital scopes. Confirm lien-waiver language with counsel.</w:t>
      </w:r>
    </w:p>
    <w:p>
      <w:pPr>
        <w:pStyle w:val="ListParagraph"/>
        <w:numPr>
          <w:ilvl w:val="0"/>
          <w:numId w:val="3"/>
        </w:numPr>
        <w:spacing w:after="60" w:before="40" w:line="290"/>
      </w:pPr>
      <w:r>
        <w:rPr>
          <w:rFonts w:ascii="Lato" w:cs="Lato" w:eastAsia="Lato" w:hAnsi="Lato"/>
          <w:b/>
          <w:bCs/>
          <w:color w:val="173F35"/>
          <w:sz w:val="22"/>
          <w:szCs w:val="22"/>
        </w:rPr>
        <w:t xml:space="preserve">State licensing — </w:t>
      </w:r>
      <w:r>
        <w:rPr>
          <w:rFonts w:ascii="Lato" w:cs="Lato" w:eastAsia="Lato" w:hAnsi="Lato"/>
          <w:color w:val="1A1A1A"/>
          <w:sz w:val="22"/>
          <w:szCs w:val="22"/>
        </w:rPr>
        <w:t xml:space="preserve">Texas Department of Agriculture licenses pesticide applicators (commercial / non-commercial / private). Confirm the applicator’s license category matches the scope before award.</w:t>
      </w:r>
    </w:p>
    <w:p>
      <w:pPr>
        <w:pStyle w:val="Heading2"/>
        <w:spacing w:after="160" w:before="280"/>
      </w:pPr>
      <w:r>
        <w:rPr>
          <w:rFonts w:ascii="Garamond" w:cs="Garamond" w:eastAsia="Garamond" w:hAnsi="Garamond"/>
          <w:b/>
          <w:bCs/>
          <w:color w:val="173F35"/>
          <w:sz w:val="30"/>
          <w:szCs w:val="30"/>
        </w:rPr>
        <w:t xml:space="preserve">Florida</w:t>
      </w:r>
    </w:p>
    <w:p>
      <w:pPr>
        <w:pStyle w:val="ListParagraph"/>
        <w:numPr>
          <w:ilvl w:val="0"/>
          <w:numId w:val="3"/>
        </w:numPr>
        <w:spacing w:after="60" w:before="40" w:line="290"/>
      </w:pPr>
      <w:r>
        <w:rPr>
          <w:rFonts w:ascii="Lato" w:cs="Lato" w:eastAsia="Lato" w:hAnsi="Lato"/>
          <w:b/>
          <w:bCs/>
          <w:color w:val="173F35"/>
          <w:sz w:val="22"/>
          <w:szCs w:val="22"/>
        </w:rPr>
        <w:t xml:space="preserve">Fla. Stat. § 718.3026 </w:t>
      </w:r>
      <w:r>
        <w:rPr>
          <w:rFonts w:ascii="Lato" w:cs="Lato" w:eastAsia="Lato" w:hAnsi="Lato"/>
          <w:color w:val="1A1A1A"/>
          <w:sz w:val="22"/>
          <w:szCs w:val="22"/>
        </w:rPr>
        <w:t xml:space="preserve">— Contracts for products and services; condominium associations must obtain competitive bids for many contracts above a statutory threshold (with statutory exceptions). Confirm current threshold, services covered, and exception list with counsel.</w:t>
      </w:r>
    </w:p>
    <w:p>
      <w:pPr>
        <w:pStyle w:val="ListParagraph"/>
        <w:numPr>
          <w:ilvl w:val="0"/>
          <w:numId w:val="3"/>
        </w:numPr>
        <w:spacing w:after="60" w:before="40" w:line="290"/>
      </w:pPr>
      <w:r>
        <w:rPr>
          <w:rFonts w:ascii="Lato" w:cs="Lato" w:eastAsia="Lato" w:hAnsi="Lato"/>
          <w:b/>
          <w:bCs/>
          <w:color w:val="173F35"/>
          <w:sz w:val="22"/>
          <w:szCs w:val="22"/>
        </w:rPr>
        <w:t xml:space="preserve">Fla. Stat. § 718.3027 </w:t>
      </w:r>
      <w:r>
        <w:rPr>
          <w:rFonts w:ascii="Lato" w:cs="Lato" w:eastAsia="Lato" w:hAnsi="Lato"/>
          <w:color w:val="1A1A1A"/>
          <w:sz w:val="22"/>
          <w:szCs w:val="22"/>
        </w:rPr>
        <w:t xml:space="preserve">— condominium director / officer conflicts of interest; rebuttable presumption when a director or relative contracts with the association.</w:t>
      </w:r>
    </w:p>
    <w:p>
      <w:pPr>
        <w:pStyle w:val="ListParagraph"/>
        <w:numPr>
          <w:ilvl w:val="0"/>
          <w:numId w:val="3"/>
        </w:numPr>
        <w:spacing w:after="60" w:before="40" w:line="290"/>
      </w:pPr>
      <w:r>
        <w:rPr>
          <w:rFonts w:ascii="Lato" w:cs="Lato" w:eastAsia="Lato" w:hAnsi="Lato"/>
          <w:b/>
          <w:bCs/>
          <w:color w:val="173F35"/>
          <w:sz w:val="22"/>
          <w:szCs w:val="22"/>
        </w:rPr>
        <w:t xml:space="preserve">Fla. Stat. § 720.3033 </w:t>
      </w:r>
      <w:r>
        <w:rPr>
          <w:rFonts w:ascii="Lato" w:cs="Lato" w:eastAsia="Lato" w:hAnsi="Lato"/>
          <w:color w:val="1A1A1A"/>
          <w:sz w:val="22"/>
          <w:szCs w:val="22"/>
        </w:rPr>
        <w:t xml:space="preserve">— HOA director / officer conflicts of interest; advance disclosure and supermajority approval procedures.</w:t>
      </w:r>
    </w:p>
    <w:p>
      <w:pPr>
        <w:pStyle w:val="ListParagraph"/>
        <w:numPr>
          <w:ilvl w:val="0"/>
          <w:numId w:val="3"/>
        </w:numPr>
        <w:spacing w:after="60" w:before="40" w:line="290"/>
      </w:pPr>
      <w:r>
        <w:rPr>
          <w:rFonts w:ascii="Lato" w:cs="Lato" w:eastAsia="Lato" w:hAnsi="Lato"/>
          <w:b/>
          <w:bCs/>
          <w:color w:val="173F35"/>
          <w:sz w:val="22"/>
          <w:szCs w:val="22"/>
        </w:rPr>
        <w:t xml:space="preserve">Fla. Stat. § 718.111(11) </w:t>
      </w:r>
      <w:r>
        <w:rPr>
          <w:rFonts w:ascii="Lato" w:cs="Lato" w:eastAsia="Lato" w:hAnsi="Lato"/>
          <w:color w:val="1A1A1A"/>
          <w:sz w:val="22"/>
          <w:szCs w:val="22"/>
        </w:rPr>
        <w:t xml:space="preserve">— condominium insurance; coordinates with vendor coverage requirements in Section 9 of the RFP.</w:t>
      </w:r>
    </w:p>
    <w:p>
      <w:pPr>
        <w:pStyle w:val="ListParagraph"/>
        <w:numPr>
          <w:ilvl w:val="0"/>
          <w:numId w:val="3"/>
        </w:numPr>
        <w:spacing w:after="60" w:before="40" w:line="290"/>
      </w:pPr>
      <w:r>
        <w:rPr>
          <w:rFonts w:ascii="Lato" w:cs="Lato" w:eastAsia="Lato" w:hAnsi="Lato"/>
          <w:b/>
          <w:bCs/>
          <w:color w:val="173F35"/>
          <w:sz w:val="22"/>
          <w:szCs w:val="22"/>
        </w:rPr>
        <w:t xml:space="preserve">State licensing — </w:t>
      </w:r>
      <w:r>
        <w:rPr>
          <w:rFonts w:ascii="Lato" w:cs="Lato" w:eastAsia="Lato" w:hAnsi="Lato"/>
          <w:color w:val="1A1A1A"/>
          <w:sz w:val="22"/>
          <w:szCs w:val="22"/>
        </w:rPr>
        <w:t xml:space="preserve">Florida Department of Business and Professional Regulation licenses commercial pool / spa servicing contractors and certain pest control categories. Confirm license category before award.</w:t>
      </w:r>
    </w:p>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73F35" w:sz="4"/>
              <w:left w:val="single" w:color="173F35" w:sz="24"/>
              <w:bottom w:val="single" w:color="173F35" w:sz="4"/>
              <w:right w:val="single" w:color="173F35" w:sz="4"/>
            </w:tcBorders>
            <w:shd w:fill="DDE7E2"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WHY FLORIDA § 718.3026 MATTERS</w:t>
            </w:r>
          </w:p>
          <w:p>
            <w:pPr>
              <w:spacing w:after="0" w:before="0" w:line="300"/>
              <w:jc w:val="left"/>
            </w:pPr>
            <w:r>
              <w:rPr>
                <w:rFonts w:ascii="Lato" w:cs="Lato" w:eastAsia="Lato" w:hAnsi="Lato"/>
                <w:color w:val="1A1A1A"/>
                <w:sz w:val="22"/>
                <w:szCs w:val="22"/>
              </w:rPr>
              <w:t xml:space="preserve">Florida statute imposes specific competitive-bid requirements on certain condominium contracts. The statute’s thresholds, covered services, and exceptions (e.g., licensed professionals, time-sensitive work, certain renewals) are amended periodically. If your association is a Florida condominium, treat this section as your default — confirm the current effective text with counsel before electing not to bid.</w:t>
            </w:r>
          </w:p>
        </w:tc>
      </w:tr>
    </w:tbl>
    <w:p>
      <w:r>
        <w:br w:type="page"/>
      </w:r>
    </w:p>
    <w:p>
      <w:pPr>
        <w:spacing w:after="60" w:before="0"/>
      </w:pPr>
      <w:r>
        <w:rPr>
          <w:rFonts w:ascii="Lato" w:cs="Lato" w:eastAsia="Lato" w:hAnsi="Lato"/>
          <w:b/>
          <w:bCs/>
          <w:color w:val="C9A24A"/>
          <w:spacing w:val="100"/>
          <w:sz w:val="16"/>
          <w:szCs w:val="16"/>
        </w:rPr>
        <w:t xml:space="preserve">RELATED RESOURCES</w:t>
      </w:r>
    </w:p>
    <w:p>
      <w:pPr>
        <w:pStyle w:val="Heading1"/>
        <w:spacing w:after="160" w:before="280"/>
      </w:pPr>
      <w:r>
        <w:rPr>
          <w:rFonts w:ascii="Garamond" w:cs="Garamond" w:eastAsia="Garamond" w:hAnsi="Garamond"/>
          <w:b/>
          <w:bCs/>
          <w:color w:val="173F35"/>
          <w:sz w:val="40"/>
          <w:szCs w:val="40"/>
        </w:rPr>
        <w:t xml:space="preserve">From the CIC-SC Library</w:t>
      </w:r>
    </w:p>
    <w:p>
      <w:pPr>
        <w:pBdr>
          <w:bottom w:val="single" w:color="C9A24A" w:sz="8" w:space="1"/>
        </w:pBdr>
        <w:spacing w:after="120" w:before="80"/>
      </w:pPr>
      <w:r>
        <w:t xml:space="preserve"/>
      </w:r>
    </w:p>
    <w:p>
      <w:pPr>
        <w:pStyle w:val="ListParagraph"/>
        <w:numPr>
          <w:ilvl w:val="0"/>
          <w:numId w:val="3"/>
        </w:numPr>
        <w:spacing w:after="60" w:before="40" w:line="290"/>
      </w:pPr>
      <w:r>
        <w:rPr>
          <w:rFonts w:ascii="Lato" w:cs="Lato" w:eastAsia="Lato" w:hAnsi="Lato"/>
          <w:b/>
          <w:bCs/>
          <w:color w:val="173F35"/>
          <w:sz w:val="22"/>
          <w:szCs w:val="22"/>
        </w:rPr>
        <w:t xml:space="preserve">RFP Tier 1/2 Adoption-Ready Template </w:t>
      </w:r>
      <w:r>
        <w:rPr>
          <w:rFonts w:ascii="Lato" w:cs="Lato" w:eastAsia="Lato" w:hAnsi="Lato"/>
          <w:color w:val="1A1A1A"/>
          <w:sz w:val="22"/>
          <w:szCs w:val="22"/>
        </w:rPr>
        <w:t xml:space="preserve">— the document this guide accompanies.</w:t>
      </w:r>
    </w:p>
    <w:p>
      <w:pPr>
        <w:pStyle w:val="ListParagraph"/>
        <w:numPr>
          <w:ilvl w:val="0"/>
          <w:numId w:val="3"/>
        </w:numPr>
        <w:spacing w:after="60" w:before="40" w:line="290"/>
      </w:pPr>
      <w:r>
        <w:rPr>
          <w:rFonts w:ascii="Lato" w:cs="Lato" w:eastAsia="Lato" w:hAnsi="Lato"/>
          <w:b/>
          <w:bCs/>
          <w:color w:val="173F35"/>
          <w:sz w:val="22"/>
          <w:szCs w:val="22"/>
        </w:rPr>
        <w:t xml:space="preserve">Standalone Drafts </w:t>
      </w:r>
      <w:r>
        <w:rPr>
          <w:rFonts w:ascii="Lato" w:cs="Lato" w:eastAsia="Lato" w:hAnsi="Lato"/>
          <w:color w:val="1A1A1A"/>
          <w:sz w:val="22"/>
          <w:szCs w:val="22"/>
        </w:rPr>
        <w:t xml:space="preserve">— Sample RFP for Landscape &amp; Grounds Maintenance, and Sample RFP for Swimming Pool &amp; Spa Service.</w:t>
      </w:r>
    </w:p>
    <w:p>
      <w:pPr>
        <w:pStyle w:val="ListParagraph"/>
        <w:numPr>
          <w:ilvl w:val="0"/>
          <w:numId w:val="3"/>
        </w:numPr>
        <w:spacing w:after="60" w:before="40" w:line="290"/>
      </w:pPr>
      <w:r>
        <w:rPr>
          <w:rFonts w:ascii="Lato" w:cs="Lato" w:eastAsia="Lato" w:hAnsi="Lato"/>
          <w:b/>
          <w:bCs/>
          <w:color w:val="173F35"/>
          <w:sz w:val="22"/>
          <w:szCs w:val="22"/>
        </w:rPr>
        <w:t xml:space="preserve">Comparative Proposal Evaluation Worksheet </w:t>
      </w:r>
      <w:r>
        <w:rPr>
          <w:rFonts w:ascii="Lato" w:cs="Lato" w:eastAsia="Lato" w:hAnsi="Lato"/>
          <w:color w:val="1A1A1A"/>
          <w:sz w:val="22"/>
          <w:szCs w:val="22"/>
        </w:rPr>
        <w:t xml:space="preserve">— pairs with Section 5 of the RFP.</w:t>
      </w:r>
    </w:p>
    <w:p>
      <w:pPr>
        <w:pStyle w:val="ListParagraph"/>
        <w:numPr>
          <w:ilvl w:val="0"/>
          <w:numId w:val="3"/>
        </w:numPr>
        <w:spacing w:after="60" w:before="40" w:line="290"/>
      </w:pPr>
      <w:r>
        <w:rPr>
          <w:rFonts w:ascii="Lato" w:cs="Lato" w:eastAsia="Lato" w:hAnsi="Lato"/>
          <w:b/>
          <w:bCs/>
          <w:color w:val="173F35"/>
          <w:sz w:val="22"/>
          <w:szCs w:val="22"/>
        </w:rPr>
        <w:t xml:space="preserve">Statement of Work Template (Tier 1/2) </w:t>
      </w:r>
      <w:r>
        <w:rPr>
          <w:rFonts w:ascii="Lato" w:cs="Lato" w:eastAsia="Lato" w:hAnsi="Lato"/>
          <w:color w:val="1A1A1A"/>
          <w:sz w:val="22"/>
          <w:szCs w:val="22"/>
        </w:rPr>
        <w:t xml:space="preserve">— companion contract for use after award.</w:t>
      </w:r>
    </w:p>
    <w:p>
      <w:pPr>
        <w:pStyle w:val="ListParagraph"/>
        <w:numPr>
          <w:ilvl w:val="0"/>
          <w:numId w:val="3"/>
        </w:numPr>
        <w:spacing w:after="60" w:before="40" w:line="290"/>
      </w:pPr>
      <w:r>
        <w:rPr>
          <w:rFonts w:ascii="Lato" w:cs="Lato" w:eastAsia="Lato" w:hAnsi="Lato"/>
          <w:b/>
          <w:bCs/>
          <w:color w:val="173F35"/>
          <w:sz w:val="22"/>
          <w:szCs w:val="22"/>
        </w:rPr>
        <w:t xml:space="preserve">Board Code of Ethics — Article 7 (Vendor Relations) </w:t>
      </w:r>
      <w:r>
        <w:rPr>
          <w:rFonts w:ascii="Lato" w:cs="Lato" w:eastAsia="Lato" w:hAnsi="Lato"/>
          <w:color w:val="1A1A1A"/>
          <w:sz w:val="22"/>
          <w:szCs w:val="22"/>
        </w:rPr>
        <w:t xml:space="preserve">— governs director conduct during the RFP process.</w:t>
      </w:r>
    </w:p>
    <w:p>
      <w:pPr>
        <w:pStyle w:val="ListParagraph"/>
        <w:numPr>
          <w:ilvl w:val="0"/>
          <w:numId w:val="3"/>
        </w:numPr>
        <w:spacing w:after="60" w:before="40" w:line="290"/>
      </w:pPr>
      <w:r>
        <w:rPr>
          <w:rFonts w:ascii="Lato" w:cs="Lato" w:eastAsia="Lato" w:hAnsi="Lato"/>
          <w:b/>
          <w:bCs/>
          <w:color w:val="173F35"/>
          <w:sz w:val="22"/>
          <w:szCs w:val="22"/>
        </w:rPr>
        <w:t xml:space="preserve">Annual Operations Calendar </w:t>
      </w:r>
      <w:r>
        <w:rPr>
          <w:rFonts w:ascii="Lato" w:cs="Lato" w:eastAsia="Lato" w:hAnsi="Lato"/>
          <w:color w:val="1A1A1A"/>
          <w:sz w:val="22"/>
          <w:szCs w:val="22"/>
        </w:rPr>
        <w:t xml:space="preserve">— includes the recurring rebid milestones for routine vendor contracts.</w:t>
      </w:r>
    </w:p>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BECOME A CIC-SC MEMBER</w:t>
            </w:r>
          </w:p>
          <w:p>
            <w:pPr>
              <w:spacing w:after="0" w:before="0" w:line="300"/>
              <w:jc w:val="left"/>
            </w:pPr>
            <w:r>
              <w:rPr>
                <w:rFonts w:ascii="Lato" w:cs="Lato" w:eastAsia="Lato" w:hAnsi="Lato"/>
                <w:color w:val="1A1A1A"/>
                <w:sz w:val="22"/>
                <w:szCs w:val="22"/>
              </w:rPr>
              <w:t xml:space="preserve">Members get full access to the CIC-SC governance and operations library, downloadable branded templates, the Comparative Proposal Evaluation Worksheet, quarterly state-specific legislative updates, and live training for boards and committees. Visit CIC-SC.org/membership to join.</w:t>
            </w:r>
          </w:p>
        </w:tc>
      </w:tr>
    </w:tbl>
    <w:p>
      <w:r>
        <w:br w:type="page"/>
      </w:r>
    </w:p>
    <w:p>
      <w:pPr>
        <w:spacing w:after="60" w:before="0"/>
      </w:pPr>
      <w:r>
        <w:rPr>
          <w:rFonts w:ascii="Lato" w:cs="Lato" w:eastAsia="Lato" w:hAnsi="Lato"/>
          <w:b/>
          <w:bCs/>
          <w:color w:val="C9A24A"/>
          <w:spacing w:val="100"/>
          <w:sz w:val="16"/>
          <w:szCs w:val="16"/>
        </w:rPr>
        <w:t xml:space="preserve">DISCLAIMER</w:t>
      </w:r>
    </w:p>
    <w:p>
      <w:pPr>
        <w:pStyle w:val="Heading2"/>
        <w:spacing w:after="160" w:before="280"/>
      </w:pPr>
      <w:r>
        <w:rPr>
          <w:rFonts w:ascii="Garamond" w:cs="Garamond" w:eastAsia="Garamond" w:hAnsi="Garamond"/>
          <w:b/>
          <w:bCs/>
          <w:color w:val="173F35"/>
          <w:sz w:val="30"/>
          <w:szCs w:val="30"/>
        </w:rPr>
        <w:t xml:space="preserve">CIC-SC Disclaimer</w:t>
      </w:r>
    </w:p>
    <w:p>
      <w:pPr>
        <w:pBdr>
          <w:bottom w:val="single" w:color="C9A24A" w:sz="8" w:space="1"/>
        </w:pBdr>
        <w:spacing w:after="120" w:before="80"/>
      </w:pPr>
      <w:r>
        <w:t xml:space="preserve"/>
      </w:r>
    </w:p>
    <w:p>
      <w:pPr>
        <w:spacing w:after="200" w:before="0" w:line="280"/>
        <w:jc w:val="left"/>
      </w:pPr>
      <w:r>
        <w:rPr>
          <w:rFonts w:ascii="Lato" w:cs="Lato" w:eastAsia="Lato" w:hAnsi="Lato"/>
          <w:color w:val="5C5C5C"/>
          <w:sz w:val="18"/>
          <w:szCs w:val="18"/>
        </w:rPr>
        <w:t xml:space="preserve">This resource is provided by the Common Interest Community Standards Council (CIC-SC) for general educational and informational purposes only. Community association laws and requirements vary by state and may change over time. This material is not legal, financial, insurance, reserve, or professional management advice and should not be relied upon as a substitute for consulting qualified professionals familiar with your specific circumstances and jurisdiction. While CIC-SC strives for accuracy and relevance, no guarantee is made regarding completeness, accuracy, or compliance with applicable laws.</w:t>
      </w:r>
    </w:p>
    <w:p>
      <w:pPr>
        <w:spacing w:after="40" w:before="0" w:line="300"/>
        <w:jc w:val="left"/>
      </w:pPr>
      <w:r>
        <w:rPr>
          <w:rFonts w:ascii="Lato" w:cs="Lato" w:eastAsia="Lato" w:hAnsi="Lato"/>
          <w:b/>
          <w:bCs/>
          <w:color w:val="173F35"/>
          <w:sz w:val="18"/>
          <w:szCs w:val="18"/>
        </w:rPr>
        <w:t xml:space="preserve">© Common Interest Community Standards Council (CIC-SC)</w:t>
      </w:r>
    </w:p>
    <w:p>
      <w:pPr>
        <w:spacing w:after="0" w:before="0" w:line="300"/>
        <w:jc w:val="left"/>
      </w:pPr>
      <w:r>
        <w:rPr>
          <w:rFonts w:ascii="Lato" w:cs="Lato" w:eastAsia="Lato" w:hAnsi="Lato"/>
          <w:b/>
          <w:bCs/>
          <w:color w:val="C9A24A"/>
          <w:sz w:val="18"/>
          <w:szCs w:val="18"/>
        </w:rPr>
        <w:t xml:space="preserve">CIC-SC.org</w:t>
      </w:r>
    </w:p>
    <w:sectPr>
      <w:headerReference w:type="default" r:id="rId9"/>
      <w:footerReference w:type="default" r:id="rId10"/>
      <w:pgSz w:w="12240" w:h="15840" w:orient="portrait"/>
      <w:pgMar w:top="1080" w:right="1440" w:bottom="1296" w:left="1440" w:header="540" w:footer="54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73F35" w:sz="6" w:space="6"/>
      </w:pBdr>
      <w:spacing w:after="80" w:before="60"/>
    </w:pPr>
    <w:r>
      <w:t xml:space="preserve"/>
    </w:r>
  </w:p>
  <w:p>
    <w:pPr>
      <w:tabs>
        <w:tab w:val="center" w:pos="4680"/>
        <w:tab w:val="right" w:pos="9026"/>
      </w:tabs>
      <w:spacing w:after="60" w:before="0"/>
    </w:pPr>
    <w:r>
      <w:rPr>
        <w:rFonts w:ascii="Lato" w:cs="Lato" w:eastAsia="Lato" w:hAnsi="Lato"/>
        <w:b/>
        <w:bCs/>
        <w:color w:val="173F35"/>
        <w:sz w:val="16"/>
        <w:szCs w:val="16"/>
      </w:rPr>
      <w:t xml:space="preserve">CIC-SC.org</w:t>
    </w:r>
    <w:r>
      <w:t xml:space="preserve">	</w:t>
    </w:r>
    <w:r>
      <w:rPr>
        <w:rFonts w:ascii="Lato" w:cs="Lato" w:eastAsia="Lato" w:hAnsi="Lato"/>
        <w:i/>
        <w:iCs/>
        <w:color w:val="5C5C5C"/>
        <w:sz w:val="16"/>
        <w:szCs w:val="16"/>
      </w:rPr>
      <w:t xml:space="preserve">RFP Tier 1/2  •  Educational Guide</w:t>
    </w:r>
    <w:r>
      <w:t xml:space="preserve">	</w:t>
    </w:r>
    <w:r>
      <w:rPr>
        <w:rFonts w:ascii="Lato" w:cs="Lato" w:eastAsia="Lato" w:hAnsi="Lato"/>
        <w:color w:val="5C5C5C"/>
        <w:sz w:val="16"/>
        <w:szCs w:val="16"/>
      </w:rPr>
      <w:t xml:space="preserve">Page </w:t>
    </w:r>
    <w:r>
      <w:rPr>
        <w:rFonts w:ascii="Lato" w:cs="Lato" w:eastAsia="Lato" w:hAnsi="Lato"/>
        <w:b/>
        <w:bCs/>
        <w:color w:val="173F35"/>
        <w:sz w:val="16"/>
        <w:szCs w:val="16"/>
      </w:rPr>
      <w:fldChar w:fldCharType="begin"/>
      <w:instrText xml:space="preserve">PAGE</w:instrText>
      <w:fldChar w:fldCharType="separate"/>
      <w:fldChar w:fldCharType="end"/>
    </w:r>
    <w:r>
      <w:rPr>
        <w:rFonts w:ascii="Lato" w:cs="Lato" w:eastAsia="Lato" w:hAnsi="Lato"/>
        <w:color w:val="5C5C5C"/>
        <w:sz w:val="16"/>
        <w:szCs w:val="16"/>
      </w:rPr>
      <w:t xml:space="preserve"> / </w:t>
    </w:r>
    <w:r>
      <w:rPr>
        <w:rFonts w:ascii="Lato" w:cs="Lato" w:eastAsia="Lato" w:hAnsi="Lato"/>
        <w:color w:val="5C5C5C"/>
        <w:sz w:val="16"/>
        <w:szCs w:val="16"/>
      </w:rPr>
      <w:fldChar w:fldCharType="begin"/>
      <w:instrText xml:space="preserve">NUMPAGES</w:instrText>
      <w:fldChar w:fldCharType="separate"/>
      <w:fldChar w:fldCharType="end"/>
    </w:r>
  </w:p>
  <w:p>
    <w:pPr>
      <w:spacing w:after="0" w:before="0"/>
    </w:pPr>
    <w:r>
      <w:rPr>
        <w:rFonts w:ascii="Lato" w:cs="Lato" w:eastAsia="Lato" w:hAnsi="Lato"/>
        <w:i/>
        <w:iCs/>
        <w:color w:val="5C5C5C"/>
        <w:sz w:val="16"/>
        <w:szCs w:val="16"/>
      </w:rPr>
      <w:t xml:space="preserve">© Common Interest Community Standards Council (CIC-SC). For educational use. Not legal advice. See Disclaimer on final 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spacing w:after="0" w:before="0"/>
    </w:pPr>
    <w:r>
      <w:rPr>
        <w:rFonts w:ascii="Lato" w:cs="Lato" w:eastAsia="Lato" w:hAnsi="Lato"/>
        <w:b/>
        <w:bCs/>
        <w:color w:val="173F35"/>
        <w:spacing w:val="60"/>
        <w:sz w:val="16"/>
        <w:szCs w:val="16"/>
      </w:rPr>
      <w:t xml:space="preserve">Common Interest Community Standards Council</w:t>
    </w:r>
    <w:r>
      <w:t xml:space="preserve">	</w:t>
    </w:r>
    <w:r>
      <w:rPr>
        <w:rFonts w:ascii="Lato" w:cs="Lato" w:eastAsia="Lato" w:hAnsi="Lato"/>
        <w:i/>
        <w:iCs/>
        <w:color w:val="C9A24A"/>
        <w:sz w:val="16"/>
        <w:szCs w:val="16"/>
      </w:rPr>
      <w:t xml:space="preserve">RFP Tier 1/2 — Educational Guide</w:t>
    </w:r>
  </w:p>
  <w:p>
    <w:pPr>
      <w:pBdr>
        <w:bottom w:val="single" w:color="C9A24A" w:sz="6" w:space="1"/>
      </w:pBdr>
      <w:spacing w:after="0" w:before="6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lowerLetter"/>
      <w:lvlText w:val="%1)"/>
      <w:lvlJc w:val="left"/>
      <w:pPr>
        <w:ind w:left="1080" w:hanging="360"/>
      </w:pPr>
    </w:lvl>
  </w:abstractNum>
  <w:abstractNum w:abstractNumId="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 w:numId="3">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ato" w:cs="Lato" w:eastAsia="Lato" w:hAnsi="Lato"/>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80"/>
      <w:outlineLvl w:val="0"/>
    </w:pPr>
    <w:rPr>
      <w:rFonts w:ascii="Garamond" w:cs="Garamond" w:eastAsia="Garamond" w:hAnsi="Garamond"/>
      <w:b/>
      <w:bCs/>
      <w:color w:val="173F35"/>
      <w:sz w:val="40"/>
      <w:szCs w:val="40"/>
    </w:rPr>
  </w:style>
  <w:style w:type="paragraph" w:styleId="Heading2">
    <w:name w:val="Heading 2"/>
    <w:basedOn w:val="Normal"/>
    <w:next w:val="Normal"/>
    <w:qFormat/>
    <w:pPr>
      <w:spacing w:after="120" w:before="240"/>
      <w:outlineLvl w:val="1"/>
    </w:pPr>
    <w:rPr>
      <w:rFonts w:ascii="Garamond" w:cs="Garamond" w:eastAsia="Garamond" w:hAnsi="Garamond"/>
      <w:b/>
      <w:bCs/>
      <w:color w:val="173F35"/>
      <w:sz w:val="30"/>
      <w:szCs w:val="30"/>
    </w:rPr>
  </w:style>
  <w:style w:type="paragraph" w:styleId="Heading3">
    <w:name w:val="Heading 3"/>
    <w:basedOn w:val="Normal"/>
    <w:next w:val="Normal"/>
    <w:qFormat/>
    <w:pPr>
      <w:spacing w:after="100" w:before="200"/>
      <w:outlineLvl w:val="2"/>
    </w:pPr>
    <w:rPr>
      <w:rFonts w:ascii="Garamond" w:cs="Garamond" w:eastAsia="Garamond" w:hAnsi="Garamond"/>
      <w:b/>
      <w:bCs/>
      <w:color w:val="173F35"/>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 Tier 1/2 Educational Guide</dc:title>
  <dc:creator>Common Interest Community Standards Council (CIC-SC)</dc:creator>
  <dc:description>CIC-SC Vendor Management Toolkit. Texas &amp; Florida applicable.</dc:description>
  <cp:lastModifiedBy>Un-named</cp:lastModifiedBy>
  <cp:revision>1</cp:revision>
  <dcterms:created xsi:type="dcterms:W3CDTF">2026-05-10T20:26:34.448Z</dcterms:created>
  <dcterms:modified xsi:type="dcterms:W3CDTF">2026-05-10T20:26:34.448Z</dcterms:modified>
</cp:coreProperties>
</file>

<file path=docProps/custom.xml><?xml version="1.0" encoding="utf-8"?>
<Properties xmlns="http://schemas.openxmlformats.org/officeDocument/2006/custom-properties" xmlns:vt="http://schemas.openxmlformats.org/officeDocument/2006/docPropsVTypes"/>
</file>