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Vendor Management Toolkit  /  Volume 03 / Tier 3–4</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Request for Proposal</w:t>
      </w:r>
    </w:p>
    <w:p>
      <w:pPr>
        <w:spacing w:after="240" w:before="0"/>
        <w:jc w:val="left"/>
      </w:pPr>
      <w:r>
        <w:rPr>
          <w:rFonts w:ascii="Garamond" w:cs="Garamond" w:eastAsia="Garamond" w:hAnsi="Garamond"/>
          <w:i/>
          <w:iCs/>
          <w:color w:val="173F35"/>
          <w:sz w:val="60"/>
          <w:szCs w:val="60"/>
        </w:rPr>
        <w:t xml:space="preserve">Capital &amp; Professional</w:t>
      </w:r>
    </w:p>
    <w:p>
      <w:pPr>
        <w:spacing w:after="1200" w:before="80"/>
        <w:jc w:val="left"/>
      </w:pPr>
      <w:r>
        <w:rPr>
          <w:rFonts w:ascii="Lato" w:cs="Lato" w:eastAsia="Lato" w:hAnsi="Lato"/>
          <w:color w:val="1A1A1A"/>
          <w:sz w:val="24"/>
          <w:szCs w:val="24"/>
        </w:rPr>
        <w:t xml:space="preserve">Adoption-ready RFP for capital projects, professional services, and management contracts — roofing, paint, paving, reserve studies, attorney engagements, accounting, and community management.</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Vendor Toolkit  •  Tier 3–4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Reserve Committees  •  Capital Committees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Comparative Proposal Evaluation Worksheet  •  Vendor Services Agreement (Tier 1/2)  •  Standalone Tier 3/4 Drafts (Roofing, Management)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TEMPLATE</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Tier 3–4 contracts differ from Tier 1–2 in three ways that matter for the RFP: (a) the dollar values are higher and the decision is rarely reversible without significant loss; (b) the scope often involves construction-lien-eligible work or long-term professional services where references and qualifications carry more weight than headline price; (c) the contract terms include bonding, retainage, milestone payment, and (sometimes) liquidated damages that Tier 1–2 RFPs do not. This template addresses all three.</w:t>
      </w:r>
    </w:p>
    <w:p>
      <w:pPr>
        <w:spacing w:after="120" w:before="0" w:line="320"/>
        <w:jc w:val="left"/>
      </w:pPr>
      <w:r>
        <w:rPr>
          <w:rFonts w:ascii="Lato" w:cs="Lato" w:eastAsia="Lato" w:hAnsi="Lato"/>
          <w:color w:val="1A1A1A"/>
          <w:sz w:val="22"/>
          <w:szCs w:val="22"/>
        </w:rPr>
        <w:t xml:space="preserve">Use this RFP for capital projects (roofing, paint, paving, building envelope, major mechanical), reserve-funded improvements, and professional services or management contracts (community management, attorney engagements, accounting, reserve study). Pair it with the CIC-SC Comparative Proposal Evaluation Worksheet for award; the Tier 1/2 Vendor Services Agreement is generally not the right contract for Tier 3/4 awards — counsel should draft or review the construction or professional-services contract specifically for the scope.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CAPITAL VS. PROFESSIONAL SERVICES</w:t>
            </w:r>
          </w:p>
          <w:p>
            <w:pPr>
              <w:pStyle w:val="ListParagraph"/>
              <w:numPr>
                <w:ilvl w:val="0"/>
                <w:numId w:val="2"/>
              </w:numPr>
              <w:spacing w:after="60" w:before="40" w:line="290"/>
            </w:pPr>
            <w:r>
              <w:rPr>
                <w:rFonts w:ascii="Lato" w:cs="Lato" w:eastAsia="Lato" w:hAnsi="Lato"/>
                <w:color w:val="1A1A1A"/>
                <w:sz w:val="22"/>
                <w:szCs w:val="22"/>
              </w:rPr>
              <w:t xml:space="preserve">For capital projects (one-time construction or improvement): require performance and payment bonds, retainage, milestone payment, lien-waiver provisions, and an engineer or architect of record. Use the CIC-SC Construction Contract or industry-standard AIA forms (with counsel review) for the actual contract.</w:t>
            </w:r>
          </w:p>
          <w:p>
            <w:pPr>
              <w:pStyle w:val="ListParagraph"/>
              <w:numPr>
                <w:ilvl w:val="0"/>
                <w:numId w:val="2"/>
              </w:numPr>
              <w:spacing w:after="60" w:before="40" w:line="290"/>
            </w:pPr>
            <w:r>
              <w:rPr>
                <w:rFonts w:ascii="Lato" w:cs="Lato" w:eastAsia="Lato" w:hAnsi="Lato"/>
                <w:color w:val="1A1A1A"/>
                <w:sz w:val="22"/>
                <w:szCs w:val="22"/>
              </w:rPr>
              <w:t xml:space="preserve">For professional services (management, accounting, attorney): waive bonding; require detailed key-personnel CVs, professional licensing, ongoing-engagement references; use a multi-year term with annual performance review.</w:t>
            </w:r>
          </w:p>
          <w:p>
            <w:pPr>
              <w:pStyle w:val="ListParagraph"/>
              <w:numPr>
                <w:ilvl w:val="0"/>
                <w:numId w:val="2"/>
              </w:numPr>
              <w:spacing w:after="60" w:before="40" w:line="290"/>
            </w:pPr>
            <w:r>
              <w:rPr>
                <w:rFonts w:ascii="Lato" w:cs="Lato" w:eastAsia="Lato" w:hAnsi="Lato"/>
                <w:color w:val="1A1A1A"/>
                <w:sz w:val="22"/>
                <w:szCs w:val="22"/>
              </w:rPr>
              <w:t xml:space="preserve">For management contracts specifically: include detailed scope of services, fee structure, transition provisions, data ownership, and termination-for-convenience rights with reasonable notice. Coordinate with Fla. Stat. § 718.3025 (in Florida) for management-contract content requirements.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LEGAL NOTICE</w:t>
            </w:r>
          </w:p>
          <w:p>
            <w:pPr>
              <w:spacing w:after="0" w:before="0" w:line="300"/>
              <w:jc w:val="left"/>
            </w:pPr>
            <w:r>
              <w:rPr>
                <w:rFonts w:ascii="Lato" w:cs="Lato" w:eastAsia="Lato" w:hAnsi="Lato"/>
                <w:color w:val="1A1A1A"/>
                <w:sz w:val="22"/>
                <w:szCs w:val="22"/>
              </w:rPr>
              <w:t xml:space="preserve">Tier 3–4 contracts are substantial and counsel review is not optional. The performance-bond, payment-bond, retainage, lien-waiver, liquidated-damages, and indemnity provisions are highly state-specific and worth more than the cost of the legal review. Engage your association’s attorney before issuing this RFP and again before executing the contract.</w:t>
            </w:r>
          </w:p>
        </w:tc>
      </w:tr>
    </w:tbl>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Complete this page once for the RFP. The information should match the meeting minutes that authorized the solicitation and the Annual Operations Calendar entry for the project, if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[Street, City, State, ZIP]</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[Texas / Florida]</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[Capital Project  /  Professional Services  /  Management Contract]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[e.g., Building 4 Roof Replacement; Community Management Services]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[YYYY-MM-Code]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Estimated Project Value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 range from reserve study or operating budget]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Reserve Study Reference (capital projects)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[Year / Component / Page reference]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Funding Source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[Reserve Fund  /  Operating Fund  /  Special Assessment  /  Loan]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 / Completion Window</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[Start Date – End 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Primary Point of Contact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 Title]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[email@example.org]</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[(xxx) xxx-xxxx]</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Project Background &amp; Context</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Describe the Association, the property, and the business need driving the project. For capital work, cite the reserve study or engineering report on which the scope is based. For professional services, describe the operating environment and the strategic goals the engagement supports.</w:t>
      </w:r>
    </w:p>
    <w:p>
      <w:pPr>
        <w:pStyle w:val="Heading3"/>
        <w:spacing w:after="160" w:before="280"/>
      </w:pPr>
      <w:r>
        <w:rPr>
          <w:rFonts w:ascii="Garamond" w:cs="Garamond" w:eastAsia="Garamond" w:hAnsi="Garamond"/>
          <w:b/>
          <w:bCs/>
          <w:color w:val="173F35"/>
          <w:sz w:val="26"/>
          <w:szCs w:val="26"/>
        </w:rPr>
        <w:t xml:space="preserve">2.1  About the Association</w:t>
      </w:r>
    </w:p>
    <w:p>
      <w:pPr>
        <w:pStyle w:val="ListParagraph"/>
        <w:numPr>
          <w:ilvl w:val="0"/>
          <w:numId w:val="2"/>
        </w:numPr>
        <w:spacing w:after="60" w:before="40" w:line="290"/>
      </w:pPr>
      <w:r>
        <w:rPr>
          <w:rFonts w:ascii="Lato" w:cs="Lato" w:eastAsia="Lato" w:hAnsi="Lato"/>
          <w:color w:val="1A1A1A"/>
          <w:sz w:val="22"/>
          <w:szCs w:val="22"/>
        </w:rPr>
        <w:t xml:space="preserve">[# of homes / units], [community profile — master-planned HOA / mid-rise condo / mixed-use], year founded [YYYY], approximate property size [acres / square footage].</w:t>
      </w:r>
    </w:p>
    <w:p>
      <w:pPr>
        <w:pStyle w:val="ListParagraph"/>
        <w:numPr>
          <w:ilvl w:val="0"/>
          <w:numId w:val="2"/>
        </w:numPr>
        <w:spacing w:after="60" w:before="40" w:line="290"/>
      </w:pPr>
      <w:r>
        <w:rPr>
          <w:rFonts w:ascii="Lato" w:cs="Lato" w:eastAsia="Lato" w:hAnsi="Lato"/>
          <w:color w:val="1A1A1A"/>
          <w:sz w:val="22"/>
          <w:szCs w:val="22"/>
        </w:rPr>
        <w:t xml:space="preserve">[Brief description of common-area amenities and infrastructure relevant to the project: clubhouse, pools, trails, parking, fencing, monuments, mechanical systems.]</w:t>
      </w:r>
    </w:p>
    <w:p>
      <w:pPr>
        <w:pStyle w:val="ListParagraph"/>
        <w:numPr>
          <w:ilvl w:val="0"/>
          <w:numId w:val="2"/>
        </w:numPr>
        <w:spacing w:after="60" w:before="40" w:line="290"/>
      </w:pPr>
      <w:r>
        <w:rPr>
          <w:rFonts w:ascii="Lato" w:cs="Lato" w:eastAsia="Lato" w:hAnsi="Lato"/>
          <w:color w:val="1A1A1A"/>
          <w:sz w:val="22"/>
          <w:szCs w:val="22"/>
        </w:rPr>
        <w:t xml:space="preserve">[Governing structure: HOA under Tex. Prop. Code Ch. 209  /  condo under Fla. Stat. Ch. 718  /  HOA under Fla. Stat. Ch. 720; year of conversion to owner control (post-developer transition).]</w:t>
      </w:r>
    </w:p>
    <w:p>
      <w:pPr>
        <w:pStyle w:val="ListParagraph"/>
        <w:numPr>
          <w:ilvl w:val="0"/>
          <w:numId w:val="2"/>
        </w:numPr>
        <w:spacing w:after="60" w:before="40" w:line="290"/>
      </w:pPr>
      <w:r>
        <w:rPr>
          <w:rFonts w:ascii="Lato" w:cs="Lato" w:eastAsia="Lato" w:hAnsi="Lato"/>
          <w:color w:val="1A1A1A"/>
          <w:sz w:val="22"/>
          <w:szCs w:val="22"/>
        </w:rPr>
        <w:t xml:space="preserve">[Current professional management arrangement, if any.]</w:t>
      </w:r>
    </w:p>
    <w:p>
      <w:pPr>
        <w:pStyle w:val="Heading3"/>
        <w:spacing w:after="160" w:before="280"/>
      </w:pPr>
      <w:r>
        <w:rPr>
          <w:rFonts w:ascii="Garamond" w:cs="Garamond" w:eastAsia="Garamond" w:hAnsi="Garamond"/>
          <w:b/>
          <w:bCs/>
          <w:color w:val="173F35"/>
          <w:sz w:val="26"/>
          <w:szCs w:val="26"/>
        </w:rPr>
        <w:t xml:space="preserve">2.2  Business Need</w:t>
      </w:r>
    </w:p>
    <w:p>
      <w:pPr>
        <w:spacing w:after="200" w:before="0" w:line="320"/>
        <w:jc w:val="left"/>
      </w:pPr>
      <w:r>
        <w:rPr>
          <w:rFonts w:ascii="Lato" w:cs="Lato" w:eastAsia="Lato" w:hAnsi="Lato"/>
          <w:color w:val="1A1A1A"/>
          <w:sz w:val="22"/>
          <w:szCs w:val="22"/>
        </w:rPr>
        <w:t xml:space="preserve">[For capital projects: cite the reserve study finding, engineering assessment, or operational driver that produced this solicitation. Quote the relevant page or section of the underlying document. For professional services: describe the operating challenge or strategic goal — e.g., increased reserve adequacy, transition from developer control, replacement of incumbent provider — that the engagement is intended to address.]</w:t>
      </w:r>
    </w:p>
    <w:p>
      <w:pPr>
        <w:pStyle w:val="Heading3"/>
        <w:spacing w:after="160" w:before="280"/>
      </w:pPr>
      <w:r>
        <w:rPr>
          <w:rFonts w:ascii="Garamond" w:cs="Garamond" w:eastAsia="Garamond" w:hAnsi="Garamond"/>
          <w:b/>
          <w:bCs/>
          <w:color w:val="173F35"/>
          <w:sz w:val="26"/>
          <w:szCs w:val="26"/>
        </w:rPr>
        <w:t xml:space="preserve">2.3  Underlying Documents (provided to Proposers)</w:t>
      </w:r>
    </w:p>
    <w:p>
      <w:pPr>
        <w:pStyle w:val="ListParagraph"/>
        <w:numPr>
          <w:ilvl w:val="0"/>
          <w:numId w:val="2"/>
        </w:numPr>
        <w:spacing w:after="60" w:before="40" w:line="290"/>
      </w:pPr>
      <w:r>
        <w:rPr>
          <w:rFonts w:ascii="Lato" w:cs="Lato" w:eastAsia="Lato" w:hAnsi="Lato"/>
          <w:color w:val="1A1A1A"/>
          <w:sz w:val="22"/>
          <w:szCs w:val="22"/>
        </w:rPr>
        <w:t xml:space="preserve">[Reserve study excerpt — Component # / Year / Pages]</w:t>
      </w:r>
    </w:p>
    <w:p>
      <w:pPr>
        <w:pStyle w:val="ListParagraph"/>
        <w:numPr>
          <w:ilvl w:val="0"/>
          <w:numId w:val="2"/>
        </w:numPr>
        <w:spacing w:after="60" w:before="40" w:line="290"/>
      </w:pPr>
      <w:r>
        <w:rPr>
          <w:rFonts w:ascii="Lato" w:cs="Lato" w:eastAsia="Lato" w:hAnsi="Lato"/>
          <w:color w:val="1A1A1A"/>
          <w:sz w:val="22"/>
          <w:szCs w:val="22"/>
        </w:rPr>
        <w:t xml:space="preserve">[Engineering or architectural report or drawings, if any]</w:t>
      </w:r>
    </w:p>
    <w:p>
      <w:pPr>
        <w:pStyle w:val="ListParagraph"/>
        <w:numPr>
          <w:ilvl w:val="0"/>
          <w:numId w:val="2"/>
        </w:numPr>
        <w:spacing w:after="60" w:before="40" w:line="290"/>
      </w:pPr>
      <w:r>
        <w:rPr>
          <w:rFonts w:ascii="Lato" w:cs="Lato" w:eastAsia="Lato" w:hAnsi="Lato"/>
          <w:color w:val="1A1A1A"/>
          <w:sz w:val="22"/>
          <w:szCs w:val="22"/>
        </w:rPr>
        <w:t xml:space="preserve">[Photographs of the work area]</w:t>
      </w:r>
    </w:p>
    <w:p>
      <w:pPr>
        <w:pStyle w:val="ListParagraph"/>
        <w:numPr>
          <w:ilvl w:val="0"/>
          <w:numId w:val="2"/>
        </w:numPr>
        <w:spacing w:after="60" w:before="40" w:line="290"/>
      </w:pPr>
      <w:r>
        <w:rPr>
          <w:rFonts w:ascii="Lato" w:cs="Lato" w:eastAsia="Lato" w:hAnsi="Lato"/>
          <w:color w:val="1A1A1A"/>
          <w:sz w:val="22"/>
          <w:szCs w:val="22"/>
        </w:rPr>
        <w:t xml:space="preserve">[Existing contracts being replaced (with sensitive pricing redacted), if relevant]</w:t>
      </w:r>
    </w:p>
    <w:p>
      <w:pPr>
        <w:pStyle w:val="ListParagraph"/>
        <w:numPr>
          <w:ilvl w:val="0"/>
          <w:numId w:val="2"/>
        </w:numPr>
        <w:spacing w:after="60" w:before="40" w:line="290"/>
      </w:pPr>
      <w:r>
        <w:rPr>
          <w:rFonts w:ascii="Lato" w:cs="Lato" w:eastAsia="Lato" w:hAnsi="Lato"/>
          <w:color w:val="1A1A1A"/>
          <w:sz w:val="22"/>
          <w:szCs w:val="22"/>
        </w:rPr>
        <w:t xml:space="preserve">[Site plan / property map]</w:t>
      </w:r>
    </w:p>
    <w:p>
      <w:pPr>
        <w:spacing w:after="160" w:before="0" w:line="300"/>
        <w:jc w:val="left"/>
      </w:pPr>
      <w:r>
        <w:rPr>
          <w:rFonts w:ascii="Lato" w:cs="Lato" w:eastAsia="Lato" w:hAnsi="Lato"/>
          <w:i/>
          <w:iCs/>
          <w:color w:val="5C5C5C"/>
          <w:sz w:val="22"/>
          <w:szCs w:val="22"/>
        </w:rPr>
        <w:t xml:space="preserve">These documents are attached as Attachment A. Proposers may request additional information through the Q&amp;A process (Section 5).</w:t>
      </w:r>
    </w:p>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Schedule of Milestones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Tier 3–4 RFPs run on a longer calendar than Tier 1–2. Allow 60–120 days from release to contract start, scaled by project complexity. The Association reserves the right to update any date by written notice to all known bidders.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MILESTONE</w:t>
            </w:r>
          </w:p>
        </w:tc>
        <w:tc>
          <w:tcPr>
            <w:tcW w:type="dxa" w:w="39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released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[Release Date]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Pre-qualification submissions due (if applicable)</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Mandatory pre-proposal site walk / kickoff</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Time / Location]</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 (Round 1)</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to questions (Round 1)</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 (Round 2)</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to questions (Round 2)</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Proposals due (sealed)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period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 — 14 to 21 days typical]</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Shortlist notification</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presentations &amp; follow-up clarifications</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Best and Final Offer (BAFO) due</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Notice of Intent to Award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negotiation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 — 14 to 30 days typical]</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start  /  Mobilization</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[Start Date]</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Statement of Work</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Describe the scope in plain, outcome-oriented language for professional services; in detailed specifications anchored to engineering or architectural documents for capital projects. The most common Tier 3/4 mistake is under-scoping the work, then handling the difference as change orders.</w:t>
      </w:r>
    </w:p>
    <w:p>
      <w:pPr>
        <w:pStyle w:val="Heading3"/>
        <w:spacing w:after="160" w:before="280"/>
      </w:pPr>
      <w:r>
        <w:rPr>
          <w:rFonts w:ascii="Garamond" w:cs="Garamond" w:eastAsia="Garamond" w:hAnsi="Garamond"/>
          <w:b/>
          <w:bCs/>
          <w:color w:val="173F35"/>
          <w:sz w:val="26"/>
          <w:szCs w:val="26"/>
        </w:rPr>
        <w:t xml:space="preserve">4.1  Scope of Work</w:t>
      </w:r>
    </w:p>
    <w:p>
      <w:pPr>
        <w:spacing w:after="160" w:before="0" w:line="320"/>
        <w:jc w:val="left"/>
      </w:pPr>
      <w:r>
        <w:rPr>
          <w:rFonts w:ascii="Lato" w:cs="Lato" w:eastAsia="Lato" w:hAnsi="Lato"/>
          <w:color w:val="1A1A1A"/>
          <w:sz w:val="22"/>
          <w:szCs w:val="22"/>
        </w:rPr>
        <w:t xml:space="preserve">[For capital projects: itemize work areas, quantities, products / materials specifications, methods, sequence, and acceptance criteria. Reference engineering or architectural drawings by sheet number. State all known constraints (occupancy, working hours, staging, dust / noise / odor control). For professional services: itemize the services to be performed, the deliverables (with formats and frequency), and the standards of care or performance metrics.]</w:t>
      </w:r>
    </w:p>
    <w:p>
      <w:pPr>
        <w:pStyle w:val="Heading3"/>
        <w:spacing w:after="160" w:before="280"/>
      </w:pPr>
      <w:r>
        <w:rPr>
          <w:rFonts w:ascii="Garamond" w:cs="Garamond" w:eastAsia="Garamond" w:hAnsi="Garamond"/>
          <w:b/>
          <w:bCs/>
          <w:color w:val="173F35"/>
          <w:sz w:val="26"/>
          <w:szCs w:val="26"/>
        </w:rPr>
        <w:t xml:space="preserve">4.2  Acceptance Criteria</w:t>
      </w:r>
    </w:p>
    <w:p>
      <w:pPr>
        <w:spacing w:after="160" w:before="0" w:line="320"/>
        <w:jc w:val="left"/>
      </w:pPr>
      <w:r>
        <w:rPr>
          <w:rFonts w:ascii="Lato" w:cs="Lato" w:eastAsia="Lato" w:hAnsi="Lato"/>
          <w:color w:val="1A1A1A"/>
          <w:sz w:val="22"/>
          <w:szCs w:val="22"/>
        </w:rPr>
        <w:t xml:space="preserve">[State the observable, measurable criteria the Association will apply at completion (capital) or at each performance review (services). For capital: punch list standard, manufacturer warranty enrollment, lien-waiver delivery, as-built documentation. For services: monthly / quarterly / annual deliverables, KPIs, response times.]</w:t>
      </w:r>
    </w:p>
    <w:p>
      <w:pPr>
        <w:pStyle w:val="Heading3"/>
        <w:spacing w:after="160" w:before="280"/>
      </w:pPr>
      <w:r>
        <w:rPr>
          <w:rFonts w:ascii="Garamond" w:cs="Garamond" w:eastAsia="Garamond" w:hAnsi="Garamond"/>
          <w:b/>
          <w:bCs/>
          <w:color w:val="173F35"/>
          <w:sz w:val="26"/>
          <w:szCs w:val="26"/>
        </w:rPr>
        <w:t xml:space="preserve">4.3  Exclusions</w:t>
      </w:r>
    </w:p>
    <w:p>
      <w:pPr>
        <w:pStyle w:val="ListParagraph"/>
        <w:numPr>
          <w:ilvl w:val="0"/>
          <w:numId w:val="2"/>
        </w:numPr>
        <w:spacing w:after="60" w:before="40" w:line="290"/>
      </w:pPr>
      <w:r>
        <w:rPr>
          <w:rFonts w:ascii="Lato" w:cs="Lato" w:eastAsia="Lato" w:hAnsi="Lato"/>
          <w:color w:val="1A1A1A"/>
          <w:sz w:val="22"/>
          <w:szCs w:val="22"/>
        </w:rPr>
        <w:t xml:space="preserve">[Items the Association will provide or perform separately]</w:t>
      </w:r>
    </w:p>
    <w:p>
      <w:pPr>
        <w:pStyle w:val="ListParagraph"/>
        <w:numPr>
          <w:ilvl w:val="0"/>
          <w:numId w:val="2"/>
        </w:numPr>
        <w:spacing w:after="60" w:before="40" w:line="290"/>
      </w:pPr>
      <w:r>
        <w:rPr>
          <w:rFonts w:ascii="Lato" w:cs="Lato" w:eastAsia="Lato" w:hAnsi="Lato"/>
          <w:color w:val="1A1A1A"/>
          <w:sz w:val="22"/>
          <w:szCs w:val="22"/>
        </w:rPr>
        <w:t xml:space="preserve">[Permitting responsibilities — typically Vendor obtains; confirm with counsel]</w:t>
      </w:r>
    </w:p>
    <w:p>
      <w:pPr>
        <w:pStyle w:val="ListParagraph"/>
        <w:numPr>
          <w:ilvl w:val="0"/>
          <w:numId w:val="2"/>
        </w:numPr>
        <w:spacing w:after="60" w:before="40" w:line="290"/>
      </w:pPr>
      <w:r>
        <w:rPr>
          <w:rFonts w:ascii="Lato" w:cs="Lato" w:eastAsia="Lato" w:hAnsi="Lato"/>
          <w:color w:val="1A1A1A"/>
          <w:sz w:val="22"/>
          <w:szCs w:val="22"/>
        </w:rPr>
        <w:t xml:space="preserve">[Utility coordination, owner-furnished materials, etc.]</w:t>
      </w:r>
    </w:p>
    <w:p>
      <w:pPr>
        <w:pStyle w:val="Heading3"/>
        <w:spacing w:after="160" w:before="280"/>
      </w:pPr>
      <w:r>
        <w:rPr>
          <w:rFonts w:ascii="Garamond" w:cs="Garamond" w:eastAsia="Garamond" w:hAnsi="Garamond"/>
          <w:b/>
          <w:bCs/>
          <w:color w:val="173F35"/>
          <w:sz w:val="26"/>
          <w:szCs w:val="26"/>
        </w:rPr>
        <w:t xml:space="preserve">4.4  Schedule &amp; Liquidated Damages (capital projects)</w:t>
      </w:r>
    </w:p>
    <w:p>
      <w:pPr>
        <w:pStyle w:val="ListParagraph"/>
        <w:numPr>
          <w:ilvl w:val="0"/>
          <w:numId w:val="2"/>
        </w:numPr>
        <w:spacing w:after="60" w:before="40" w:line="290"/>
      </w:pPr>
      <w:r>
        <w:rPr>
          <w:rFonts w:ascii="Lato" w:cs="Lato" w:eastAsia="Lato" w:hAnsi="Lato"/>
          <w:b/>
          <w:bCs/>
          <w:color w:val="173F35"/>
          <w:sz w:val="22"/>
          <w:szCs w:val="22"/>
        </w:rPr>
        <w:t xml:space="preserve">Substantial Completion Date — </w:t>
      </w:r>
      <w:r>
        <w:rPr>
          <w:rFonts w:ascii="Lato" w:cs="Lato" w:eastAsia="Lato" w:hAnsi="Lato"/>
          <w:color w:val="1A1A1A"/>
          <w:sz w:val="22"/>
          <w:szCs w:val="22"/>
        </w:rPr>
        <w:t xml:space="preserve">[date]</w:t>
      </w:r>
    </w:p>
    <w:p>
      <w:pPr>
        <w:pStyle w:val="ListParagraph"/>
        <w:numPr>
          <w:ilvl w:val="0"/>
          <w:numId w:val="2"/>
        </w:numPr>
        <w:spacing w:after="60" w:before="40" w:line="290"/>
      </w:pPr>
      <w:r>
        <w:rPr>
          <w:rFonts w:ascii="Lato" w:cs="Lato" w:eastAsia="Lato" w:hAnsi="Lato"/>
          <w:b/>
          <w:bCs/>
          <w:color w:val="173F35"/>
          <w:sz w:val="22"/>
          <w:szCs w:val="22"/>
        </w:rPr>
        <w:t xml:space="preserve">Final Completion Date — </w:t>
      </w:r>
      <w:r>
        <w:rPr>
          <w:rFonts w:ascii="Lato" w:cs="Lato" w:eastAsia="Lato" w:hAnsi="Lato"/>
          <w:color w:val="1A1A1A"/>
          <w:sz w:val="22"/>
          <w:szCs w:val="22"/>
        </w:rPr>
        <w:t xml:space="preserve">[date, typically 30 days after Substantial Completion]</w:t>
      </w:r>
    </w:p>
    <w:p>
      <w:pPr>
        <w:pStyle w:val="ListParagraph"/>
        <w:numPr>
          <w:ilvl w:val="0"/>
          <w:numId w:val="2"/>
        </w:numPr>
        <w:spacing w:after="60" w:before="40" w:line="290"/>
      </w:pPr>
      <w:r>
        <w:rPr>
          <w:rFonts w:ascii="Lato" w:cs="Lato" w:eastAsia="Lato" w:hAnsi="Lato"/>
          <w:b/>
          <w:bCs/>
          <w:color w:val="173F35"/>
          <w:sz w:val="22"/>
          <w:szCs w:val="22"/>
        </w:rPr>
        <w:t xml:space="preserve">Liquidated Damages — </w:t>
      </w:r>
      <w:r>
        <w:rPr>
          <w:rFonts w:ascii="Lato" w:cs="Lato" w:eastAsia="Lato" w:hAnsi="Lato"/>
          <w:color w:val="1A1A1A"/>
          <w:sz w:val="22"/>
          <w:szCs w:val="22"/>
        </w:rPr>
        <w:t xml:space="preserve">[optional; if used, state $ per calendar day after Substantial Completion Date, reasonable in relation to actual anticipated damages]. Counsel review required.</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Instructions to Proposers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5.1  Pre-qualification (Capital Projects)</w:t>
      </w:r>
    </w:p>
    <w:p>
      <w:pPr>
        <w:spacing w:after="100" w:before="0" w:line="320"/>
        <w:jc w:val="left"/>
      </w:pPr>
      <w:r>
        <w:rPr>
          <w:rFonts w:ascii="Lato" w:cs="Lato" w:eastAsia="Lato" w:hAnsi="Lato"/>
          <w:color w:val="1A1A1A"/>
          <w:sz w:val="22"/>
          <w:szCs w:val="22"/>
        </w:rPr>
        <w:t xml:space="preserve">For capital projects, the Association may require pre-qualification before issuing the full RFP. Pre-qualification narrows the bidder list to vendors with the bonding capacity, financial strength, and licensing required to perform the work, before either side invests in proposal preparation.</w:t>
      </w:r>
    </w:p>
    <w:p>
      <w:pPr>
        <w:pStyle w:val="ListParagraph"/>
        <w:numPr>
          <w:ilvl w:val="0"/>
          <w:numId w:val="2"/>
        </w:numPr>
        <w:spacing w:after="60" w:before="40" w:line="290"/>
      </w:pPr>
      <w:r>
        <w:rPr>
          <w:rFonts w:ascii="Lato" w:cs="Lato" w:eastAsia="Lato" w:hAnsi="Lato"/>
          <w:color w:val="1A1A1A"/>
          <w:sz w:val="22"/>
          <w:szCs w:val="22"/>
        </w:rPr>
        <w:t xml:space="preserve">Pre-qualification submission: company financials (most recent two years audited statements or reviewed financials); current bonding capacity letter from surety; state contractor licensing; five (5) references for similar-scope completed projects in the last five (5) years; OSHA EMR / safety record; key-personnel biographies.</w:t>
      </w:r>
    </w:p>
    <w:p>
      <w:pPr>
        <w:pStyle w:val="ListParagraph"/>
        <w:numPr>
          <w:ilvl w:val="0"/>
          <w:numId w:val="2"/>
        </w:numPr>
        <w:spacing w:after="60" w:before="40" w:line="290"/>
      </w:pPr>
      <w:r>
        <w:rPr>
          <w:rFonts w:ascii="Lato" w:cs="Lato" w:eastAsia="Lato" w:hAnsi="Lato"/>
          <w:color w:val="1A1A1A"/>
          <w:sz w:val="22"/>
          <w:szCs w:val="22"/>
        </w:rPr>
        <w:t xml:space="preserve">Pre-qualification review: 7–14 days after submission deadline. Pre-qualified bidders receive the full RFP and engineering documents.</w:t>
      </w:r>
    </w:p>
    <w:p>
      <w:pPr>
        <w:pStyle w:val="Heading3"/>
        <w:spacing w:after="160" w:before="280"/>
      </w:pPr>
      <w:r>
        <w:rPr>
          <w:rFonts w:ascii="Garamond" w:cs="Garamond" w:eastAsia="Garamond" w:hAnsi="Garamond"/>
          <w:b/>
          <w:bCs/>
          <w:color w:val="173F35"/>
          <w:sz w:val="26"/>
          <w:szCs w:val="26"/>
        </w:rPr>
        <w:t xml:space="preserve">5.2  Submission Method</w:t>
      </w:r>
    </w:p>
    <w:p>
      <w:pPr>
        <w:spacing w:after="160" w:before="0" w:line="320"/>
        <w:jc w:val="left"/>
      </w:pPr>
      <w:r>
        <w:rPr>
          <w:rFonts w:ascii="Lato" w:cs="Lato" w:eastAsia="Lato" w:hAnsi="Lato"/>
          <w:color w:val="1A1A1A"/>
          <w:sz w:val="22"/>
          <w:szCs w:val="22"/>
        </w:rPr>
        <w:t xml:space="preserve">Sealed proposals shall be submitted via [email to (address) with the subject line “[RFP Reference #] — [Vendor Name]”] OR [delivered in a sealed box to (address)] no later than the Proposal Due Date and Time identified in Section 3. Late, unsigned, or incomplete submissions will not be considered.</w:t>
      </w:r>
    </w:p>
    <w:p>
      <w:pPr>
        <w:pStyle w:val="Heading3"/>
        <w:spacing w:after="160" w:before="280"/>
      </w:pPr>
      <w:r>
        <w:rPr>
          <w:rFonts w:ascii="Garamond" w:cs="Garamond" w:eastAsia="Garamond" w:hAnsi="Garamond"/>
          <w:b/>
          <w:bCs/>
          <w:color w:val="173F35"/>
          <w:sz w:val="26"/>
          <w:szCs w:val="26"/>
        </w:rPr>
        <w:t xml:space="preserve">5.3  Mandatory Pre-Proposal Site Walk / Kickoff</w:t>
      </w:r>
    </w:p>
    <w:p>
      <w:pPr>
        <w:spacing w:after="160" w:before="0" w:line="320"/>
        <w:jc w:val="left"/>
      </w:pPr>
      <w:r>
        <w:rPr>
          <w:rFonts w:ascii="Lato" w:cs="Lato" w:eastAsia="Lato" w:hAnsi="Lato"/>
          <w:color w:val="1A1A1A"/>
          <w:sz w:val="22"/>
          <w:szCs w:val="22"/>
        </w:rPr>
        <w:t xml:space="preserve">A mandatory site walk (capital) or kickoff meeting (professional services) will be held on the date and time identified in Section 3. Up to three (3) representatives per bidder may attend. Attendance is mandatory; failure to attend disqualifies the proposal. Bidders shall register attendees by email no later than [Date] so that gate access and orientation materials can be prepared.</w:t>
      </w:r>
    </w:p>
    <w:p>
      <w:pPr>
        <w:pStyle w:val="Heading3"/>
        <w:spacing w:after="160" w:before="280"/>
      </w:pPr>
      <w:r>
        <w:rPr>
          <w:rFonts w:ascii="Garamond" w:cs="Garamond" w:eastAsia="Garamond" w:hAnsi="Garamond"/>
          <w:b/>
          <w:bCs/>
          <w:color w:val="173F35"/>
          <w:sz w:val="26"/>
          <w:szCs w:val="26"/>
        </w:rPr>
        <w:t xml:space="preserve">5.4  Required Submittals</w:t>
      </w:r>
    </w:p>
    <w:p>
      <w:pPr>
        <w:pStyle w:val="ListParagraph"/>
        <w:numPr>
          <w:ilvl w:val="0"/>
          <w:numId w:val="3"/>
        </w:numPr>
        <w:spacing w:after="100" w:before="60" w:line="300"/>
      </w:pPr>
      <w:r>
        <w:rPr>
          <w:rFonts w:ascii="Lato" w:cs="Lato" w:eastAsia="Lato" w:hAnsi="Lato"/>
          <w:color w:val="1A1A1A"/>
          <w:sz w:val="22"/>
          <w:szCs w:val="22"/>
        </w:rPr>
        <w:t xml:space="preserve">Executive Summary — not more than two (2) pages — describing how the proposer’s approach addresses the business need described in Section 2.</w:t>
      </w:r>
    </w:p>
    <w:p>
      <w:pPr>
        <w:pStyle w:val="ListParagraph"/>
        <w:numPr>
          <w:ilvl w:val="0"/>
          <w:numId w:val="3"/>
        </w:numPr>
        <w:spacing w:after="100" w:before="60" w:line="300"/>
      </w:pPr>
      <w:r>
        <w:rPr>
          <w:rFonts w:ascii="Lato" w:cs="Lato" w:eastAsia="Lato" w:hAnsi="Lato"/>
          <w:color w:val="1A1A1A"/>
          <w:sz w:val="22"/>
          <w:szCs w:val="22"/>
        </w:rPr>
        <w:t xml:space="preserve">Vendor Information Form (Section 8).</w:t>
      </w:r>
    </w:p>
    <w:p>
      <w:pPr>
        <w:pStyle w:val="ListParagraph"/>
        <w:numPr>
          <w:ilvl w:val="0"/>
          <w:numId w:val="3"/>
        </w:numPr>
        <w:spacing w:after="100" w:before="60" w:line="300"/>
      </w:pPr>
      <w:r>
        <w:rPr>
          <w:rFonts w:ascii="Lato" w:cs="Lato" w:eastAsia="Lato" w:hAnsi="Lato"/>
          <w:color w:val="1A1A1A"/>
          <w:sz w:val="22"/>
          <w:szCs w:val="22"/>
        </w:rPr>
        <w:t xml:space="preserve">Five (5) Past Performance References (Section 9) for capital projects; three (3) for professional services.</w:t>
      </w:r>
    </w:p>
    <w:p>
      <w:pPr>
        <w:pStyle w:val="ListParagraph"/>
        <w:numPr>
          <w:ilvl w:val="0"/>
          <w:numId w:val="3"/>
        </w:numPr>
        <w:spacing w:after="100" w:before="60" w:line="300"/>
      </w:pPr>
      <w:r>
        <w:rPr>
          <w:rFonts w:ascii="Lato" w:cs="Lato" w:eastAsia="Lato" w:hAnsi="Lato"/>
          <w:color w:val="1A1A1A"/>
          <w:sz w:val="22"/>
          <w:szCs w:val="22"/>
        </w:rPr>
        <w:t xml:space="preserve">Certificate of Insurance evidencing the coverage required in Section 10, and a bonding capacity letter for capital projects (Section 11).</w:t>
      </w:r>
    </w:p>
    <w:p>
      <w:pPr>
        <w:pStyle w:val="ListParagraph"/>
        <w:numPr>
          <w:ilvl w:val="0"/>
          <w:numId w:val="3"/>
        </w:numPr>
        <w:spacing w:after="100" w:before="60" w:line="300"/>
      </w:pPr>
      <w:r>
        <w:rPr>
          <w:rFonts w:ascii="Lato" w:cs="Lato" w:eastAsia="Lato" w:hAnsi="Lato"/>
          <w:color w:val="1A1A1A"/>
          <w:sz w:val="22"/>
          <w:szCs w:val="22"/>
        </w:rPr>
        <w:t xml:space="preserve">Key personnel biographies — project manager, superintendent / lead consultant, and any specialist staff (e.g., licensed architect, CPA, attorney).</w:t>
      </w:r>
    </w:p>
    <w:p>
      <w:pPr>
        <w:pStyle w:val="ListParagraph"/>
        <w:numPr>
          <w:ilvl w:val="0"/>
          <w:numId w:val="3"/>
        </w:numPr>
        <w:spacing w:after="100" w:before="60" w:line="300"/>
      </w:pPr>
      <w:r>
        <w:rPr>
          <w:rFonts w:ascii="Lato" w:cs="Lato" w:eastAsia="Lato" w:hAnsi="Lato"/>
          <w:color w:val="1A1A1A"/>
          <w:sz w:val="22"/>
          <w:szCs w:val="22"/>
        </w:rPr>
        <w:t xml:space="preserve">Project schedule (capital) — Gantt or comparable graphic showing phasing, milestones, and float, anchored to the dates in Section 3.</w:t>
      </w:r>
    </w:p>
    <w:p>
      <w:pPr>
        <w:pStyle w:val="ListParagraph"/>
        <w:numPr>
          <w:ilvl w:val="0"/>
          <w:numId w:val="3"/>
        </w:numPr>
        <w:spacing w:after="100" w:before="60" w:line="300"/>
      </w:pPr>
      <w:r>
        <w:rPr>
          <w:rFonts w:ascii="Lato" w:cs="Lato" w:eastAsia="Lato" w:hAnsi="Lato"/>
          <w:color w:val="1A1A1A"/>
          <w:sz w:val="22"/>
          <w:szCs w:val="22"/>
        </w:rPr>
        <w:t xml:space="preserve">Quality assurance plan, safety plan, and (if construction) site logistics plan.</w:t>
      </w:r>
    </w:p>
    <w:p>
      <w:pPr>
        <w:pStyle w:val="ListParagraph"/>
        <w:numPr>
          <w:ilvl w:val="0"/>
          <w:numId w:val="3"/>
        </w:numPr>
        <w:spacing w:after="100" w:before="60" w:line="300"/>
      </w:pPr>
      <w:r>
        <w:rPr>
          <w:rFonts w:ascii="Lato" w:cs="Lato" w:eastAsia="Lato" w:hAnsi="Lato"/>
          <w:color w:val="1A1A1A"/>
          <w:sz w:val="22"/>
          <w:szCs w:val="22"/>
        </w:rPr>
        <w:t xml:space="preserve">Bid Sheet (Section 13) — line-item pricing, allowances, alternates.</w:t>
      </w:r>
    </w:p>
    <w:p>
      <w:pPr>
        <w:pStyle w:val="ListParagraph"/>
        <w:numPr>
          <w:ilvl w:val="0"/>
          <w:numId w:val="3"/>
        </w:numPr>
        <w:spacing w:after="100" w:before="60" w:line="300"/>
      </w:pPr>
      <w:r>
        <w:rPr>
          <w:rFonts w:ascii="Lato" w:cs="Lato" w:eastAsia="Lato" w:hAnsi="Lato"/>
          <w:color w:val="1A1A1A"/>
          <w:sz w:val="22"/>
          <w:szCs w:val="22"/>
        </w:rPr>
        <w:t xml:space="preserve">Bid Authorization &amp; Affidavit (Section 14).</w:t>
      </w:r>
    </w:p>
    <w:p>
      <w:pPr>
        <w:pStyle w:val="ListParagraph"/>
        <w:numPr>
          <w:ilvl w:val="0"/>
          <w:numId w:val="3"/>
        </w:numPr>
        <w:spacing w:after="100" w:before="60" w:line="300"/>
      </w:pPr>
      <w:r>
        <w:rPr>
          <w:rFonts w:ascii="Lato" w:cs="Lato" w:eastAsia="Lato" w:hAnsi="Lato"/>
          <w:color w:val="1A1A1A"/>
          <w:sz w:val="22"/>
          <w:szCs w:val="22"/>
        </w:rPr>
        <w:t xml:space="preserve">Management Approach narrative — not more than fifteen (15) pages — covering organizational structure, staffing depth, subcontractor list, communication, and risk management.</w:t>
      </w:r>
    </w:p>
    <w:p>
      <w:pPr>
        <w:pStyle w:val="Heading3"/>
        <w:spacing w:after="160" w:before="280"/>
      </w:pPr>
      <w:r>
        <w:rPr>
          <w:rFonts w:ascii="Garamond" w:cs="Garamond" w:eastAsia="Garamond" w:hAnsi="Garamond"/>
          <w:b/>
          <w:bCs/>
          <w:color w:val="173F35"/>
          <w:sz w:val="26"/>
          <w:szCs w:val="26"/>
        </w:rPr>
        <w:t xml:space="preserve">5.5  Format &amp; Validity Period</w:t>
      </w:r>
    </w:p>
    <w:p>
      <w:pPr>
        <w:pStyle w:val="ListParagraph"/>
        <w:numPr>
          <w:ilvl w:val="0"/>
          <w:numId w:val="2"/>
        </w:numPr>
        <w:spacing w:after="60" w:before="40" w:line="290"/>
      </w:pPr>
      <w:r>
        <w:rPr>
          <w:rFonts w:ascii="Lato" w:cs="Lato" w:eastAsia="Lato" w:hAnsi="Lato"/>
          <w:color w:val="1A1A1A"/>
          <w:sz w:val="22"/>
          <w:szCs w:val="22"/>
        </w:rPr>
        <w:t xml:space="preserve">8.5" × 11" portrait, 11-pt body type, 1-inch margins. Drawings and schedule may be 11" × 17" foldouts where helpful.</w:t>
      </w:r>
    </w:p>
    <w:p>
      <w:pPr>
        <w:pStyle w:val="ListParagraph"/>
        <w:numPr>
          <w:ilvl w:val="0"/>
          <w:numId w:val="2"/>
        </w:numPr>
        <w:spacing w:after="60" w:before="40" w:line="290"/>
      </w:pPr>
      <w:r>
        <w:rPr>
          <w:rFonts w:ascii="Lato" w:cs="Lato" w:eastAsia="Lato" w:hAnsi="Lato"/>
          <w:color w:val="1A1A1A"/>
          <w:sz w:val="22"/>
          <w:szCs w:val="22"/>
        </w:rPr>
        <w:t xml:space="preserve">Pricing valid for ninety (90) calendar days following the Proposal Due Date (longer than the Tier 1/2 60-day standard, reflecting longer contract negotiation cycles).</w:t>
      </w:r>
    </w:p>
    <w:p>
      <w:pPr>
        <w:pStyle w:val="ListParagraph"/>
        <w:numPr>
          <w:ilvl w:val="0"/>
          <w:numId w:val="2"/>
        </w:numPr>
        <w:spacing w:after="60" w:before="40" w:line="290"/>
      </w:pPr>
      <w:r>
        <w:rPr>
          <w:rFonts w:ascii="Lato" w:cs="Lato" w:eastAsia="Lato" w:hAnsi="Lato"/>
          <w:color w:val="1A1A1A"/>
          <w:sz w:val="22"/>
          <w:szCs w:val="22"/>
        </w:rPr>
        <w:t xml:space="preserve">Proposals become the property of the Association and will not be returned. Costs incurred in preparing and submitting a proposal will not be reimbursed.</w:t>
      </w: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Evaluation of Proposals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Tier 3–4 evaluations differ from Tier 1–2 in two ways: (a) more criteria, often including a vendor-presentation phase; (b) price typically weighs less heavily, reflecting the importance of qualifications and approach for high-value contracts.</w:t>
      </w:r>
    </w:p>
    <w:p>
      <w:pPr>
        <w:pStyle w:val="Heading3"/>
        <w:spacing w:after="160" w:before="280"/>
      </w:pPr>
      <w:r>
        <w:rPr>
          <w:rFonts w:ascii="Garamond" w:cs="Garamond" w:eastAsia="Garamond" w:hAnsi="Garamond"/>
          <w:b/>
          <w:bCs/>
          <w:color w:val="173F35"/>
          <w:sz w:val="26"/>
          <w:szCs w:val="26"/>
        </w:rPr>
        <w:t xml:space="preserve">6.1  Threshold Criteria (Pass / Fail)</w:t>
      </w:r>
    </w:p>
    <w:p>
      <w:pPr>
        <w:pStyle w:val="ListParagraph"/>
        <w:numPr>
          <w:ilvl w:val="0"/>
          <w:numId w:val="2"/>
        </w:numPr>
        <w:spacing w:after="60" w:before="40" w:line="290"/>
      </w:pPr>
      <w:r>
        <w:rPr>
          <w:rFonts w:ascii="Lato" w:cs="Lato" w:eastAsia="Lato" w:hAnsi="Lato"/>
          <w:color w:val="1A1A1A"/>
          <w:sz w:val="22"/>
          <w:szCs w:val="22"/>
        </w:rPr>
        <w:t xml:space="preserve">Pre-qualified (capital projects).</w:t>
      </w:r>
    </w:p>
    <w:p>
      <w:pPr>
        <w:pStyle w:val="ListParagraph"/>
        <w:numPr>
          <w:ilvl w:val="0"/>
          <w:numId w:val="2"/>
        </w:numPr>
        <w:spacing w:after="60" w:before="40" w:line="290"/>
      </w:pPr>
      <w:r>
        <w:rPr>
          <w:rFonts w:ascii="Lato" w:cs="Lato" w:eastAsia="Lato" w:hAnsi="Lato"/>
          <w:color w:val="1A1A1A"/>
          <w:sz w:val="22"/>
          <w:szCs w:val="22"/>
        </w:rPr>
        <w:t xml:space="preserve">All required submittals present, signed, and complete.</w:t>
      </w:r>
    </w:p>
    <w:p>
      <w:pPr>
        <w:pStyle w:val="ListParagraph"/>
        <w:numPr>
          <w:ilvl w:val="0"/>
          <w:numId w:val="2"/>
        </w:numPr>
        <w:spacing w:after="60" w:before="40" w:line="290"/>
      </w:pPr>
      <w:r>
        <w:rPr>
          <w:rFonts w:ascii="Lato" w:cs="Lato" w:eastAsia="Lato" w:hAnsi="Lato"/>
          <w:color w:val="1A1A1A"/>
          <w:sz w:val="22"/>
          <w:szCs w:val="22"/>
        </w:rPr>
        <w:t xml:space="preserve">Five (5) reachable references confirming satisfactory performance for capital; three (3) for professional services.</w:t>
      </w:r>
    </w:p>
    <w:p>
      <w:pPr>
        <w:pStyle w:val="ListParagraph"/>
        <w:numPr>
          <w:ilvl w:val="0"/>
          <w:numId w:val="2"/>
        </w:numPr>
        <w:spacing w:after="60" w:before="40" w:line="290"/>
      </w:pPr>
      <w:r>
        <w:rPr>
          <w:rFonts w:ascii="Lato" w:cs="Lato" w:eastAsia="Lato" w:hAnsi="Lato"/>
          <w:color w:val="1A1A1A"/>
          <w:sz w:val="22"/>
          <w:szCs w:val="22"/>
        </w:rPr>
        <w:t xml:space="preserve">Insurance certificate evidences Section 10 limits.</w:t>
      </w:r>
    </w:p>
    <w:p>
      <w:pPr>
        <w:pStyle w:val="ListParagraph"/>
        <w:numPr>
          <w:ilvl w:val="0"/>
          <w:numId w:val="2"/>
        </w:numPr>
        <w:spacing w:after="60" w:before="40" w:line="290"/>
      </w:pPr>
      <w:r>
        <w:rPr>
          <w:rFonts w:ascii="Lato" w:cs="Lato" w:eastAsia="Lato" w:hAnsi="Lato"/>
          <w:color w:val="1A1A1A"/>
          <w:sz w:val="22"/>
          <w:szCs w:val="22"/>
        </w:rPr>
        <w:t xml:space="preserve">Bonding capacity letter evidences sufficient capacity for the Project Value (capital).</w:t>
      </w:r>
    </w:p>
    <w:p>
      <w:pPr>
        <w:pStyle w:val="ListParagraph"/>
        <w:numPr>
          <w:ilvl w:val="0"/>
          <w:numId w:val="2"/>
        </w:numPr>
        <w:spacing w:after="60" w:before="40" w:line="290"/>
      </w:pPr>
      <w:r>
        <w:rPr>
          <w:rFonts w:ascii="Lato" w:cs="Lato" w:eastAsia="Lato" w:hAnsi="Lato"/>
          <w:color w:val="1A1A1A"/>
          <w:sz w:val="22"/>
          <w:szCs w:val="22"/>
        </w:rPr>
        <w:t xml:space="preserve">State licensing current and matched to scope.</w:t>
      </w:r>
    </w:p>
    <w:p>
      <w:pPr>
        <w:pStyle w:val="ListParagraph"/>
        <w:numPr>
          <w:ilvl w:val="0"/>
          <w:numId w:val="2"/>
        </w:numPr>
        <w:spacing w:after="60" w:before="40" w:line="290"/>
      </w:pPr>
      <w:r>
        <w:rPr>
          <w:rFonts w:ascii="Lato" w:cs="Lato" w:eastAsia="Lato" w:hAnsi="Lato"/>
          <w:color w:val="1A1A1A"/>
          <w:sz w:val="22"/>
          <w:szCs w:val="22"/>
        </w:rPr>
        <w:t xml:space="preserve">No undisclosed conflict of interest.</w:t>
      </w:r>
    </w:p>
    <w:p>
      <w:pPr>
        <w:pStyle w:val="ListParagraph"/>
        <w:numPr>
          <w:ilvl w:val="0"/>
          <w:numId w:val="2"/>
        </w:numPr>
        <w:spacing w:after="60" w:before="40" w:line="290"/>
      </w:pPr>
      <w:r>
        <w:rPr>
          <w:rFonts w:ascii="Lato" w:cs="Lato" w:eastAsia="Lato" w:hAnsi="Lato"/>
          <w:color w:val="1A1A1A"/>
          <w:sz w:val="22"/>
          <w:szCs w:val="22"/>
        </w:rPr>
        <w:t xml:space="preserve">Bidder attended the mandatory site walk / kickoff.</w:t>
      </w:r>
    </w:p>
    <w:p>
      <w:pPr>
        <w:pStyle w:val="ListParagraph"/>
        <w:numPr>
          <w:ilvl w:val="0"/>
          <w:numId w:val="2"/>
        </w:numPr>
        <w:spacing w:after="60" w:before="40" w:line="290"/>
      </w:pPr>
      <w:r>
        <w:rPr>
          <w:rFonts w:ascii="Lato" w:cs="Lato" w:eastAsia="Lato" w:hAnsi="Lato"/>
          <w:color w:val="1A1A1A"/>
          <w:sz w:val="22"/>
          <w:szCs w:val="22"/>
        </w:rPr>
        <w:t xml:space="preserve">Pricing valid 90 days after Proposal Due Date.</w:t>
      </w:r>
    </w:p>
    <w:p>
      <w:pPr>
        <w:pStyle w:val="Heading3"/>
        <w:spacing w:after="160" w:before="280"/>
      </w:pPr>
      <w:r>
        <w:rPr>
          <w:rFonts w:ascii="Garamond" w:cs="Garamond" w:eastAsia="Garamond" w:hAnsi="Garamond"/>
          <w:b/>
          <w:bCs/>
          <w:color w:val="173F35"/>
          <w:sz w:val="26"/>
          <w:szCs w:val="26"/>
        </w:rPr>
        <w:t xml:space="preserve">6.2  Weighted Comparison Criteria (Default)</w:t>
      </w:r>
    </w:p>
    <w:p>
      <w:pPr>
        <w:pStyle w:val="ListParagraph"/>
        <w:numPr>
          <w:ilvl w:val="0"/>
          <w:numId w:val="2"/>
        </w:numPr>
        <w:spacing w:after="60" w:before="40" w:line="290"/>
      </w:pPr>
      <w:r>
        <w:rPr>
          <w:rFonts w:ascii="Lato" w:cs="Lato" w:eastAsia="Lato" w:hAnsi="Lato"/>
          <w:b/>
          <w:bCs/>
          <w:color w:val="173F35"/>
          <w:sz w:val="22"/>
          <w:szCs w:val="22"/>
        </w:rPr>
        <w:t xml:space="preserve">Past Performance &amp; References  20%  </w:t>
      </w:r>
      <w:r>
        <w:rPr>
          <w:rFonts w:ascii="Lato" w:cs="Lato" w:eastAsia="Lato" w:hAnsi="Lato"/>
          <w:color w:val="1A1A1A"/>
          <w:sz w:val="22"/>
          <w:szCs w:val="22"/>
        </w:rPr>
        <w:t xml:space="preserve">— five direct comparable references (capital) or long-tenured client relationships (services).</w:t>
      </w:r>
    </w:p>
    <w:p>
      <w:pPr>
        <w:pStyle w:val="ListParagraph"/>
        <w:numPr>
          <w:ilvl w:val="0"/>
          <w:numId w:val="2"/>
        </w:numPr>
        <w:spacing w:after="60" w:before="40" w:line="290"/>
      </w:pPr>
      <w:r>
        <w:rPr>
          <w:rFonts w:ascii="Lato" w:cs="Lato" w:eastAsia="Lato" w:hAnsi="Lato"/>
          <w:b/>
          <w:bCs/>
          <w:color w:val="173F35"/>
          <w:sz w:val="22"/>
          <w:szCs w:val="22"/>
        </w:rPr>
        <w:t xml:space="preserve">Key Personnel &amp; Team Depth  15%  </w:t>
      </w:r>
      <w:r>
        <w:rPr>
          <w:rFonts w:ascii="Lato" w:cs="Lato" w:eastAsia="Lato" w:hAnsi="Lato"/>
          <w:color w:val="1A1A1A"/>
          <w:sz w:val="22"/>
          <w:szCs w:val="22"/>
        </w:rPr>
        <w:t xml:space="preserve">— project manager / lead consultant biographies; bench depth.</w:t>
      </w:r>
    </w:p>
    <w:p>
      <w:pPr>
        <w:pStyle w:val="ListParagraph"/>
        <w:numPr>
          <w:ilvl w:val="0"/>
          <w:numId w:val="2"/>
        </w:numPr>
        <w:spacing w:after="60" w:before="40" w:line="290"/>
      </w:pPr>
      <w:r>
        <w:rPr>
          <w:rFonts w:ascii="Lato" w:cs="Lato" w:eastAsia="Lato" w:hAnsi="Lato"/>
          <w:b/>
          <w:bCs/>
          <w:color w:val="173F35"/>
          <w:sz w:val="22"/>
          <w:szCs w:val="22"/>
        </w:rPr>
        <w:t xml:space="preserve">Technical Approach &amp; Schedule  15%  </w:t>
      </w:r>
      <w:r>
        <w:rPr>
          <w:rFonts w:ascii="Lato" w:cs="Lato" w:eastAsia="Lato" w:hAnsi="Lato"/>
          <w:color w:val="1A1A1A"/>
          <w:sz w:val="22"/>
          <w:szCs w:val="22"/>
        </w:rPr>
        <w:t xml:space="preserve">— for capital, project schedule and means/methods; for services, scope coverage and deliverables.</w:t>
      </w:r>
    </w:p>
    <w:p>
      <w:pPr>
        <w:pStyle w:val="ListParagraph"/>
        <w:numPr>
          <w:ilvl w:val="0"/>
          <w:numId w:val="2"/>
        </w:numPr>
        <w:spacing w:after="60" w:before="40" w:line="290"/>
      </w:pPr>
      <w:r>
        <w:rPr>
          <w:rFonts w:ascii="Lato" w:cs="Lato" w:eastAsia="Lato" w:hAnsi="Lato"/>
          <w:b/>
          <w:bCs/>
          <w:color w:val="173F35"/>
          <w:sz w:val="22"/>
          <w:szCs w:val="22"/>
        </w:rPr>
        <w:t xml:space="preserve">Pricing — Base Bid  20%  </w:t>
      </w:r>
      <w:r>
        <w:rPr>
          <w:rFonts w:ascii="Lato" w:cs="Lato" w:eastAsia="Lato" w:hAnsi="Lato"/>
          <w:color w:val="1A1A1A"/>
          <w:sz w:val="22"/>
          <w:szCs w:val="22"/>
        </w:rPr>
        <w:t xml:space="preserve">— apples-to-apples lowest base price ranking among technically acceptable bidders.</w:t>
      </w:r>
    </w:p>
    <w:p>
      <w:pPr>
        <w:pStyle w:val="ListParagraph"/>
        <w:numPr>
          <w:ilvl w:val="0"/>
          <w:numId w:val="2"/>
        </w:numPr>
        <w:spacing w:after="60" w:before="40" w:line="290"/>
      </w:pPr>
      <w:r>
        <w:rPr>
          <w:rFonts w:ascii="Lato" w:cs="Lato" w:eastAsia="Lato" w:hAnsi="Lato"/>
          <w:b/>
          <w:bCs/>
          <w:color w:val="173F35"/>
          <w:sz w:val="22"/>
          <w:szCs w:val="22"/>
        </w:rPr>
        <w:t xml:space="preserve">Pricing — Allowances &amp; Alternates  10%  </w:t>
      </w:r>
      <w:r>
        <w:rPr>
          <w:rFonts w:ascii="Lato" w:cs="Lato" w:eastAsia="Lato" w:hAnsi="Lato"/>
          <w:color w:val="1A1A1A"/>
          <w:sz w:val="22"/>
          <w:szCs w:val="22"/>
        </w:rPr>
        <w:t xml:space="preserve">— accuracy of allowances; competitiveness of alternates; change-order rate.</w:t>
      </w:r>
    </w:p>
    <w:p>
      <w:pPr>
        <w:pStyle w:val="ListParagraph"/>
        <w:numPr>
          <w:ilvl w:val="0"/>
          <w:numId w:val="2"/>
        </w:numPr>
        <w:spacing w:after="60" w:before="40" w:line="290"/>
      </w:pPr>
      <w:r>
        <w:rPr>
          <w:rFonts w:ascii="Lato" w:cs="Lato" w:eastAsia="Lato" w:hAnsi="Lato"/>
          <w:b/>
          <w:bCs/>
          <w:color w:val="173F35"/>
          <w:sz w:val="22"/>
          <w:szCs w:val="22"/>
        </w:rPr>
        <w:t xml:space="preserve">Bonding &amp; Financial Strength  10%  </w:t>
      </w:r>
      <w:r>
        <w:rPr>
          <w:rFonts w:ascii="Lato" w:cs="Lato" w:eastAsia="Lato" w:hAnsi="Lato"/>
          <w:color w:val="1A1A1A"/>
          <w:sz w:val="22"/>
          <w:szCs w:val="22"/>
        </w:rPr>
        <w:t xml:space="preserve">— capacity letter and financial statement strength (capital).</w:t>
      </w:r>
    </w:p>
    <w:p>
      <w:pPr>
        <w:pStyle w:val="ListParagraph"/>
        <w:numPr>
          <w:ilvl w:val="0"/>
          <w:numId w:val="2"/>
        </w:numPr>
        <w:spacing w:after="60" w:before="40" w:line="290"/>
      </w:pPr>
      <w:r>
        <w:rPr>
          <w:rFonts w:ascii="Lato" w:cs="Lato" w:eastAsia="Lato" w:hAnsi="Lato"/>
          <w:b/>
          <w:bCs/>
          <w:color w:val="173F35"/>
          <w:sz w:val="22"/>
          <w:szCs w:val="22"/>
        </w:rPr>
        <w:t xml:space="preserve">Quality, Safety &amp; Risk Management  5%  </w:t>
      </w:r>
      <w:r>
        <w:rPr>
          <w:rFonts w:ascii="Lato" w:cs="Lato" w:eastAsia="Lato" w:hAnsi="Lato"/>
          <w:color w:val="1A1A1A"/>
          <w:sz w:val="22"/>
          <w:szCs w:val="22"/>
        </w:rPr>
        <w:t xml:space="preserve">— QA plan; OSHA EMR; insurance loss runs.</w:t>
      </w:r>
    </w:p>
    <w:p>
      <w:pPr>
        <w:pStyle w:val="ListParagraph"/>
        <w:numPr>
          <w:ilvl w:val="0"/>
          <w:numId w:val="2"/>
        </w:numPr>
        <w:spacing w:after="60" w:before="40" w:line="290"/>
      </w:pPr>
      <w:r>
        <w:rPr>
          <w:rFonts w:ascii="Lato" w:cs="Lato" w:eastAsia="Lato" w:hAnsi="Lato"/>
          <w:b/>
          <w:bCs/>
          <w:color w:val="173F35"/>
          <w:sz w:val="22"/>
          <w:szCs w:val="22"/>
        </w:rPr>
        <w:t xml:space="preserve">Local Presence &amp; Reputation  5%  </w:t>
      </w:r>
      <w:r>
        <w:rPr>
          <w:rFonts w:ascii="Lato" w:cs="Lato" w:eastAsia="Lato" w:hAnsi="Lato"/>
          <w:color w:val="1A1A1A"/>
          <w:sz w:val="22"/>
          <w:szCs w:val="22"/>
        </w:rPr>
        <w:t xml:space="preserve">— in-region references; demonstrated reputation in the local market.</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VENDOR PRESENTATIONS</w:t>
            </w:r>
          </w:p>
          <w:p>
            <w:pPr>
              <w:spacing w:after="0" w:before="0" w:line="300"/>
              <w:jc w:val="left"/>
            </w:pPr>
            <w:r>
              <w:rPr>
                <w:rFonts w:ascii="Lato" w:cs="Lato" w:eastAsia="Lato" w:hAnsi="Lato"/>
                <w:color w:val="1A1A1A"/>
                <w:sz w:val="22"/>
                <w:szCs w:val="22"/>
              </w:rPr>
              <w:t xml:space="preserve">For Tier 3–4 evaluations, a shortlist of two or three top-scoring bidders is typically invited to present to the Board (or evaluation committee) before final award. The presentation is the opportunity to meet the project manager, walk the schedule, and resolve any open questions on the proposal. Allow 45–60 minutes per bidder, including Q&amp;A. Score the presentation as a separate criterion (5–10% of total) if used.</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BEST AND FINAL OFFER (BAFO)</w:t>
            </w:r>
          </w:p>
          <w:p>
            <w:pPr>
              <w:spacing w:after="0" w:before="0" w:line="300"/>
              <w:jc w:val="left"/>
            </w:pPr>
            <w:r>
              <w:rPr>
                <w:rFonts w:ascii="Lato" w:cs="Lato" w:eastAsia="Lato" w:hAnsi="Lato"/>
                <w:color w:val="1A1A1A"/>
                <w:sz w:val="22"/>
                <w:szCs w:val="22"/>
              </w:rPr>
              <w:t xml:space="preserve">After presentations, the Association may invite the shortlisted bidders to submit a Best and Final Offer — typically 7 days after presentations. BAFOs are submitted on a uniform basis (same scope, same allowances, same alternates) and address only price and any open clarifications. BAFOs are not a Dutch auction; the Association does not relay competing bids.</w:t>
            </w:r>
          </w:p>
        </w:tc>
      </w:tr>
    </w:tbl>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Conflicts of Interest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Tier 3–4 award decisions are larger and more visible than Tier 1–2 decisions. The conflict-of-interest framework is the same — disclose in the cover letter, the Association evaluates under its Code of Ethics and applicable state law — but the consequences of a hidden conflict are amplified. Vendors are strongly encouraged to err on the side of disclosure.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NOTE</w:t>
            </w:r>
          </w:p>
          <w:p>
            <w:pPr>
              <w:spacing w:after="0" w:before="0" w:line="300"/>
              <w:jc w:val="left"/>
            </w:pPr>
            <w:r>
              <w:rPr>
                <w:rFonts w:ascii="Lato" w:cs="Lato" w:eastAsia="Lato" w:hAnsi="Lato"/>
                <w:color w:val="1A1A1A"/>
                <w:sz w:val="22"/>
                <w:szCs w:val="22"/>
              </w:rPr>
              <w:t xml:space="preserve">Florida law creates a rebuttable presumption of conflict in many vendor scenarios involving a director or relative (Fla. Stat. §§ 718.3027, 720.3033). For Tier 3–4 capital and management contracts, also confirm the bidding process complies with Fla. Stat. § 718.3026 (Contracts for products and services) and, for management contracts, Fla. Stat. § 718.3025 (Agreements for the operation, maintenance, or management).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TEXAS NOTE</w:t>
            </w:r>
          </w:p>
          <w:p>
            <w:pPr>
              <w:spacing w:after="0" w:before="0" w:line="300"/>
              <w:jc w:val="left"/>
            </w:pPr>
            <w:r>
              <w:rPr>
                <w:rFonts w:ascii="Lato" w:cs="Lato" w:eastAsia="Lato" w:hAnsi="Lato"/>
                <w:color w:val="1A1A1A"/>
                <w:sz w:val="22"/>
                <w:szCs w:val="22"/>
              </w:rPr>
              <w:t xml:space="preserve">Texas community associations organized under the Business Organizations Code, Chapter 22, are subject to § 22.230 (contracts and transactions involving interested directors). For capital projects giving rise to mechanic’s lien rights, Tex. Prop. Code Ch. 53 governs lien procedures; vendors should disclose any relationship that could affect lien-waiver delivery.</w:t>
            </w:r>
          </w:p>
        </w:tc>
      </w:tr>
    </w:tbl>
    <w:p>
      <w:r>
        <w:br w:type="page"/>
      </w:r>
    </w:p>
    <w:p>
      <w:pPr>
        <w:spacing w:after="60" w:before="0"/>
      </w:pPr>
      <w:r>
        <w:rPr>
          <w:rFonts w:ascii="Lato" w:cs="Lato" w:eastAsia="Lato" w:hAnsi="Lato"/>
          <w:b/>
          <w:bCs/>
          <w:color w:val="C9A24A"/>
          <w:spacing w:val="100"/>
          <w:sz w:val="16"/>
          <w:szCs w:val="16"/>
        </w:rPr>
        <w:t xml:space="preserve">SECTION 8  /  FORM 1</w:t>
      </w:r>
    </w:p>
    <w:p>
      <w:pPr>
        <w:pStyle w:val="Heading1"/>
        <w:spacing w:after="160" w:before="280"/>
      </w:pPr>
      <w:r>
        <w:rPr>
          <w:rFonts w:ascii="Garamond" w:cs="Garamond" w:eastAsia="Garamond" w:hAnsi="Garamond"/>
          <w:b/>
          <w:bCs/>
          <w:color w:val="173F35"/>
          <w:sz w:val="40"/>
          <w:szCs w:val="40"/>
        </w:rPr>
        <w:t xml:space="preserve">Vendor Information Form</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Legal Company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DBA / Trade Name (if any)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Main Office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Authorized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Licensing # (capital — contractor; services — professional)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 Founded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in [Project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 of Permanent Employees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Last 3 Years Revenue ($ — each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Largest Single Project Completed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Current Bonding Capacity ($ — single / aggregate)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OSHA EMR (Experience Modification Rate, 3-year)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EIN / Federal Tax ID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W-9 on file with the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9  /  FORM 2</w:t>
      </w:r>
    </w:p>
    <w:p>
      <w:pPr>
        <w:pStyle w:val="Heading1"/>
        <w:spacing w:after="160" w:before="280"/>
      </w:pPr>
      <w:r>
        <w:rPr>
          <w:rFonts w:ascii="Garamond" w:cs="Garamond" w:eastAsia="Garamond" w:hAnsi="Garamond"/>
          <w:b/>
          <w:bCs/>
          <w:color w:val="173F35"/>
          <w:sz w:val="40"/>
          <w:szCs w:val="40"/>
        </w:rPr>
        <w:t xml:space="preserve">Past Performance References (5)</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Provide five (5) references for similar-scope completed projects within the last five (5) years for capital scopes (three (3) for professional services). Reference contacts must consent to be contacted by the Association.</w:t>
      </w:r>
    </w:p>
    <w:p>
      <w:pPr>
        <w:spacing w:after="60" w:before="0"/>
      </w:pPr>
      <w:r>
        <w:rPr>
          <w:rFonts w:ascii="Lato" w:cs="Lato" w:eastAsia="Lato" w:hAnsi="Lato"/>
          <w:b/>
          <w:bCs/>
          <w:color w:val="C9A24A"/>
          <w:spacing w:val="100"/>
          <w:sz w:val="16"/>
          <w:szCs w:val="16"/>
        </w:rPr>
        <w:t xml:space="preserve">REFERENCE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0" w:before="0" w:line="300"/>
        <w:jc w:val="left"/>
      </w:pPr>
      <w:r>
        <w:rPr>
          <w:rFonts w:ascii="Lato" w:cs="Lato" w:eastAsia="Lato" w:hAnsi="Lato"/>
          <w:i/>
          <w:iCs/>
          <w:color w:val="5C5C5C"/>
          <w:sz w:val="22"/>
          <w:szCs w:val="22"/>
        </w:rPr>
        <w:t xml:space="preserve">Additional references (#4–5) on attached sheets.</w:t>
      </w:r>
    </w:p>
    <w:p>
      <w:r>
        <w:br w:type="page"/>
      </w:r>
    </w:p>
    <w:p>
      <w:pPr>
        <w:spacing w:after="60" w:before="0"/>
      </w:pPr>
      <w:r>
        <w:rPr>
          <w:rFonts w:ascii="Lato" w:cs="Lato" w:eastAsia="Lato" w:hAnsi="Lato"/>
          <w:b/>
          <w:bCs/>
          <w:color w:val="C9A24A"/>
          <w:spacing w:val="100"/>
          <w:sz w:val="16"/>
          <w:szCs w:val="16"/>
        </w:rPr>
        <w:t xml:space="preserve">SECTION 10</w:t>
      </w:r>
    </w:p>
    <w:p>
      <w:pPr>
        <w:pStyle w:val="Heading1"/>
        <w:spacing w:after="160" w:before="280"/>
      </w:pPr>
      <w:r>
        <w:rPr>
          <w:rFonts w:ascii="Garamond" w:cs="Garamond" w:eastAsia="Garamond" w:hAnsi="Garamond"/>
          <w:b/>
          <w:bCs/>
          <w:color w:val="173F35"/>
          <w:sz w:val="40"/>
          <w:szCs w:val="40"/>
        </w:rPr>
        <w:t xml:space="preserve">Insurance Requirements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Tier 3–4 insurance limits are higher than Tier 1–2, reflecting the greater dollar value and risk profile. Coverage shall be maintained throughout the contract term; for capital projects, completed-operations coverage shall be maintained for two (2) years after Final Completion.</w:t>
      </w:r>
    </w:p>
    <w:p>
      <w:pPr>
        <w:pStyle w:val="ListParagraph"/>
        <w:numPr>
          <w:ilvl w:val="0"/>
          <w:numId w:val="2"/>
        </w:numPr>
        <w:spacing w:after="60" w:before="40" w:line="290"/>
      </w:pPr>
      <w:r>
        <w:rPr>
          <w:rFonts w:ascii="Lato" w:cs="Lato" w:eastAsia="Lato" w:hAnsi="Lato"/>
          <w:b/>
          <w:bCs/>
          <w:color w:val="173F35"/>
          <w:sz w:val="22"/>
          <w:szCs w:val="22"/>
        </w:rPr>
        <w:t xml:space="preserve">Commercial General Liability — </w:t>
      </w:r>
      <w:r>
        <w:rPr>
          <w:rFonts w:ascii="Lato" w:cs="Lato" w:eastAsia="Lato" w:hAnsi="Lato"/>
          <w:color w:val="1A1A1A"/>
          <w:sz w:val="22"/>
          <w:szCs w:val="22"/>
        </w:rPr>
        <w:t xml:space="preserve">minimum $2,000,000 per occurrence and $5,000,000 aggregate; products / completed-operations included; contractual liability; primary, non-contributory; additional insureds named.</w:t>
      </w:r>
    </w:p>
    <w:p>
      <w:pPr>
        <w:pStyle w:val="ListParagraph"/>
        <w:numPr>
          <w:ilvl w:val="0"/>
          <w:numId w:val="2"/>
        </w:numPr>
        <w:spacing w:after="60" w:before="40" w:line="290"/>
      </w:pPr>
      <w:r>
        <w:rPr>
          <w:rFonts w:ascii="Lato" w:cs="Lato" w:eastAsia="Lato" w:hAnsi="Lato"/>
          <w:b/>
          <w:bCs/>
          <w:color w:val="173F35"/>
          <w:sz w:val="22"/>
          <w:szCs w:val="22"/>
        </w:rPr>
        <w:t xml:space="preserve">Commercial Auto Liability — </w:t>
      </w:r>
      <w:r>
        <w:rPr>
          <w:rFonts w:ascii="Lato" w:cs="Lato" w:eastAsia="Lato" w:hAnsi="Lato"/>
          <w:color w:val="1A1A1A"/>
          <w:sz w:val="22"/>
          <w:szCs w:val="22"/>
        </w:rPr>
        <w:t xml:space="preserve">minimum $2,000,000 combined single limit; owned, non-owned, and hired vehicles.</w:t>
      </w:r>
    </w:p>
    <w:p>
      <w:pPr>
        <w:pStyle w:val="ListParagraph"/>
        <w:numPr>
          <w:ilvl w:val="0"/>
          <w:numId w:val="2"/>
        </w:numPr>
        <w:spacing w:after="60" w:before="40" w:line="290"/>
      </w:pPr>
      <w:r>
        <w:rPr>
          <w:rFonts w:ascii="Lato" w:cs="Lato" w:eastAsia="Lato" w:hAnsi="Lato"/>
          <w:b/>
          <w:bCs/>
          <w:color w:val="173F35"/>
          <w:sz w:val="22"/>
          <w:szCs w:val="22"/>
        </w:rPr>
        <w:t xml:space="preserve">Workers’ Compensation &amp; Employer’s Liability — </w:t>
      </w:r>
      <w:r>
        <w:rPr>
          <w:rFonts w:ascii="Lato" w:cs="Lato" w:eastAsia="Lato" w:hAnsi="Lato"/>
          <w:color w:val="1A1A1A"/>
          <w:sz w:val="22"/>
          <w:szCs w:val="22"/>
        </w:rPr>
        <w:t xml:space="preserve">statutory limit; Employer’s Liability of $1,000,000 / $1,000,000 / $1,000,000.</w:t>
      </w:r>
    </w:p>
    <w:p>
      <w:pPr>
        <w:pStyle w:val="ListParagraph"/>
        <w:numPr>
          <w:ilvl w:val="0"/>
          <w:numId w:val="2"/>
        </w:numPr>
        <w:spacing w:after="60" w:before="40" w:line="290"/>
      </w:pPr>
      <w:r>
        <w:rPr>
          <w:rFonts w:ascii="Lato" w:cs="Lato" w:eastAsia="Lato" w:hAnsi="Lato"/>
          <w:b/>
          <w:bCs/>
          <w:color w:val="173F35"/>
          <w:sz w:val="22"/>
          <w:szCs w:val="22"/>
        </w:rPr>
        <w:t xml:space="preserve">Umbrella / Excess Liability — </w:t>
      </w:r>
      <w:r>
        <w:rPr>
          <w:rFonts w:ascii="Lato" w:cs="Lato" w:eastAsia="Lato" w:hAnsi="Lato"/>
          <w:color w:val="1A1A1A"/>
          <w:sz w:val="22"/>
          <w:szCs w:val="22"/>
        </w:rPr>
        <w:t xml:space="preserve">minimum $5,000,000 over the underlying CGL and Auto.</w:t>
      </w:r>
    </w:p>
    <w:p>
      <w:pPr>
        <w:pStyle w:val="ListParagraph"/>
        <w:numPr>
          <w:ilvl w:val="0"/>
          <w:numId w:val="2"/>
        </w:numPr>
        <w:spacing w:after="60" w:before="40" w:line="290"/>
      </w:pPr>
      <w:r>
        <w:rPr>
          <w:rFonts w:ascii="Lato" w:cs="Lato" w:eastAsia="Lato" w:hAnsi="Lato"/>
          <w:b/>
          <w:bCs/>
          <w:color w:val="173F35"/>
          <w:sz w:val="22"/>
          <w:szCs w:val="22"/>
        </w:rPr>
        <w:t xml:space="preserve">Builder’s Risk (capital projects, if applicable) — </w:t>
      </w:r>
      <w:r>
        <w:rPr>
          <w:rFonts w:ascii="Lato" w:cs="Lato" w:eastAsia="Lato" w:hAnsi="Lato"/>
          <w:color w:val="1A1A1A"/>
          <w:sz w:val="22"/>
          <w:szCs w:val="22"/>
        </w:rPr>
        <w:t xml:space="preserve">all-risk on the work in place; deductible coordination with Association master policy; or specify Association will procure separately.</w:t>
      </w:r>
    </w:p>
    <w:p>
      <w:pPr>
        <w:pStyle w:val="ListParagraph"/>
        <w:numPr>
          <w:ilvl w:val="0"/>
          <w:numId w:val="2"/>
        </w:numPr>
        <w:spacing w:after="60" w:before="40" w:line="290"/>
      </w:pPr>
      <w:r>
        <w:rPr>
          <w:rFonts w:ascii="Lato" w:cs="Lato" w:eastAsia="Lato" w:hAnsi="Lato"/>
          <w:b/>
          <w:bCs/>
          <w:color w:val="173F35"/>
          <w:sz w:val="22"/>
          <w:szCs w:val="22"/>
        </w:rPr>
        <w:t xml:space="preserve">Professional Liability / E&amp;O (professional services) — </w:t>
      </w:r>
      <w:r>
        <w:rPr>
          <w:rFonts w:ascii="Lato" w:cs="Lato" w:eastAsia="Lato" w:hAnsi="Lato"/>
          <w:color w:val="1A1A1A"/>
          <w:sz w:val="22"/>
          <w:szCs w:val="22"/>
        </w:rPr>
        <w:t xml:space="preserve">minimum $2,000,000 per claim and aggregate; cover the specific service category (e.g., reserve study, accounting, attorney, management).</w:t>
      </w:r>
    </w:p>
    <w:p>
      <w:pPr>
        <w:pStyle w:val="ListParagraph"/>
        <w:numPr>
          <w:ilvl w:val="0"/>
          <w:numId w:val="2"/>
        </w:numPr>
        <w:spacing w:after="60" w:before="40" w:line="290"/>
      </w:pPr>
      <w:r>
        <w:rPr>
          <w:rFonts w:ascii="Lato" w:cs="Lato" w:eastAsia="Lato" w:hAnsi="Lato"/>
          <w:b/>
          <w:bCs/>
          <w:color w:val="173F35"/>
          <w:sz w:val="22"/>
          <w:szCs w:val="22"/>
        </w:rPr>
        <w:t xml:space="preserve">Pollution Liability (when applicable) — </w:t>
      </w:r>
      <w:r>
        <w:rPr>
          <w:rFonts w:ascii="Lato" w:cs="Lato" w:eastAsia="Lato" w:hAnsi="Lato"/>
          <w:color w:val="1A1A1A"/>
          <w:sz w:val="22"/>
          <w:szCs w:val="22"/>
        </w:rPr>
        <w:t xml:space="preserve">minimum $1,000,000 per occurrence.</w:t>
      </w:r>
    </w:p>
    <w:p>
      <w:pPr>
        <w:pStyle w:val="ListParagraph"/>
        <w:numPr>
          <w:ilvl w:val="0"/>
          <w:numId w:val="2"/>
        </w:numPr>
        <w:spacing w:after="60" w:before="40" w:line="290"/>
      </w:pPr>
      <w:r>
        <w:rPr>
          <w:rFonts w:ascii="Lato" w:cs="Lato" w:eastAsia="Lato" w:hAnsi="Lato"/>
          <w:b/>
          <w:bCs/>
          <w:color w:val="173F35"/>
          <w:sz w:val="22"/>
          <w:szCs w:val="22"/>
        </w:rPr>
        <w:t xml:space="preserve">Notice of Cancellation — </w:t>
      </w:r>
      <w:r>
        <w:rPr>
          <w:rFonts w:ascii="Lato" w:cs="Lato" w:eastAsia="Lato" w:hAnsi="Lato"/>
          <w:color w:val="1A1A1A"/>
          <w:sz w:val="22"/>
          <w:szCs w:val="22"/>
        </w:rPr>
        <w:t xml:space="preserve">30 days’ written notice of cancellation or material change.</w:t>
      </w:r>
    </w:p>
    <w:p>
      <w:r>
        <w:br w:type="page"/>
      </w:r>
    </w:p>
    <w:p>
      <w:pPr>
        <w:spacing w:after="60" w:before="0"/>
      </w:pPr>
      <w:r>
        <w:rPr>
          <w:rFonts w:ascii="Lato" w:cs="Lato" w:eastAsia="Lato" w:hAnsi="Lato"/>
          <w:b/>
          <w:bCs/>
          <w:color w:val="C9A24A"/>
          <w:spacing w:val="100"/>
          <w:sz w:val="16"/>
          <w:szCs w:val="16"/>
        </w:rPr>
        <w:t xml:space="preserve">SECTION 11</w:t>
      </w:r>
    </w:p>
    <w:p>
      <w:pPr>
        <w:pStyle w:val="Heading1"/>
        <w:spacing w:after="160" w:before="280"/>
      </w:pPr>
      <w:r>
        <w:rPr>
          <w:rFonts w:ascii="Garamond" w:cs="Garamond" w:eastAsia="Garamond" w:hAnsi="Garamond"/>
          <w:b/>
          <w:bCs/>
          <w:color w:val="173F35"/>
          <w:sz w:val="40"/>
          <w:szCs w:val="40"/>
        </w:rPr>
        <w:t xml:space="preserve">Bonding Requirements (Capital Projects)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For capital projects above [threshold — typically $100,000 in Florida, $50,000–$100,000 in Texas, scaled by Association policy], performance and payment bonds shall be furnished by the awarded Vendor before contract execution. Bonds protect the Association in the event of Vendor default or non-payment to subcontractors / suppliers.</w:t>
      </w:r>
    </w:p>
    <w:p>
      <w:pPr>
        <w:pStyle w:val="ListParagraph"/>
        <w:numPr>
          <w:ilvl w:val="0"/>
          <w:numId w:val="2"/>
        </w:numPr>
        <w:spacing w:after="60" w:before="40" w:line="290"/>
      </w:pPr>
      <w:r>
        <w:rPr>
          <w:rFonts w:ascii="Lato" w:cs="Lato" w:eastAsia="Lato" w:hAnsi="Lato"/>
          <w:b/>
          <w:bCs/>
          <w:color w:val="173F35"/>
          <w:sz w:val="22"/>
          <w:szCs w:val="22"/>
        </w:rPr>
        <w:t xml:space="preserve">Performance Bond — </w:t>
      </w:r>
      <w:r>
        <w:rPr>
          <w:rFonts w:ascii="Lato" w:cs="Lato" w:eastAsia="Lato" w:hAnsi="Lato"/>
          <w:color w:val="1A1A1A"/>
          <w:sz w:val="22"/>
          <w:szCs w:val="22"/>
        </w:rPr>
        <w:t xml:space="preserve">100% of contract value; in favor of the Association; surety must be rated A- or better by A.M. Best.</w:t>
      </w:r>
    </w:p>
    <w:p>
      <w:pPr>
        <w:pStyle w:val="ListParagraph"/>
        <w:numPr>
          <w:ilvl w:val="0"/>
          <w:numId w:val="2"/>
        </w:numPr>
        <w:spacing w:after="60" w:before="40" w:line="290"/>
      </w:pPr>
      <w:r>
        <w:rPr>
          <w:rFonts w:ascii="Lato" w:cs="Lato" w:eastAsia="Lato" w:hAnsi="Lato"/>
          <w:b/>
          <w:bCs/>
          <w:color w:val="173F35"/>
          <w:sz w:val="22"/>
          <w:szCs w:val="22"/>
        </w:rPr>
        <w:t xml:space="preserve">Payment Bond — </w:t>
      </w:r>
      <w:r>
        <w:rPr>
          <w:rFonts w:ascii="Lato" w:cs="Lato" w:eastAsia="Lato" w:hAnsi="Lato"/>
          <w:color w:val="1A1A1A"/>
          <w:sz w:val="22"/>
          <w:szCs w:val="22"/>
        </w:rPr>
        <w:t xml:space="preserve">100% of contract value; in favor of subcontractors and suppliers; same surety rating standard.</w:t>
      </w:r>
    </w:p>
    <w:p>
      <w:pPr>
        <w:pStyle w:val="ListParagraph"/>
        <w:numPr>
          <w:ilvl w:val="0"/>
          <w:numId w:val="2"/>
        </w:numPr>
        <w:spacing w:after="60" w:before="40" w:line="290"/>
      </w:pPr>
      <w:r>
        <w:rPr>
          <w:rFonts w:ascii="Lato" w:cs="Lato" w:eastAsia="Lato" w:hAnsi="Lato"/>
          <w:b/>
          <w:bCs/>
          <w:color w:val="173F35"/>
          <w:sz w:val="22"/>
          <w:szCs w:val="22"/>
        </w:rPr>
        <w:t xml:space="preserve">Maintenance / Warranty Bond — </w:t>
      </w:r>
      <w:r>
        <w:rPr>
          <w:rFonts w:ascii="Lato" w:cs="Lato" w:eastAsia="Lato" w:hAnsi="Lato"/>
          <w:color w:val="1A1A1A"/>
          <w:sz w:val="22"/>
          <w:szCs w:val="22"/>
        </w:rPr>
        <w:t xml:space="preserve">[optional, common on roofing and paving] equal to a percentage of contract value, maintained for the warranty period (typically 1–3 years).</w:t>
      </w:r>
    </w:p>
    <w:p>
      <w:pPr>
        <w:pStyle w:val="ListParagraph"/>
        <w:numPr>
          <w:ilvl w:val="0"/>
          <w:numId w:val="2"/>
        </w:numPr>
        <w:spacing w:after="60" w:before="40" w:line="290"/>
      </w:pPr>
      <w:r>
        <w:rPr>
          <w:rFonts w:ascii="Lato" w:cs="Lato" w:eastAsia="Lato" w:hAnsi="Lato"/>
          <w:b/>
          <w:bCs/>
          <w:color w:val="173F35"/>
          <w:sz w:val="22"/>
          <w:szCs w:val="22"/>
        </w:rPr>
        <w:t xml:space="preserve">Bonding Capacity Letter — </w:t>
      </w:r>
      <w:r>
        <w:rPr>
          <w:rFonts w:ascii="Lato" w:cs="Lato" w:eastAsia="Lato" w:hAnsi="Lato"/>
          <w:color w:val="1A1A1A"/>
          <w:sz w:val="22"/>
          <w:szCs w:val="22"/>
        </w:rPr>
        <w:t xml:space="preserve">Vendor shall submit with its proposal a current letter from surety confirming bonding capacity sufficient for the Project Value.</w:t>
      </w:r>
    </w:p>
    <w:p>
      <w:pPr>
        <w:pStyle w:val="ListParagraph"/>
        <w:numPr>
          <w:ilvl w:val="0"/>
          <w:numId w:val="2"/>
        </w:numPr>
        <w:spacing w:after="60" w:before="40" w:line="290"/>
      </w:pPr>
      <w:r>
        <w:rPr>
          <w:rFonts w:ascii="Lato" w:cs="Lato" w:eastAsia="Lato" w:hAnsi="Lato"/>
          <w:b/>
          <w:bCs/>
          <w:color w:val="173F35"/>
          <w:sz w:val="22"/>
          <w:szCs w:val="22"/>
        </w:rPr>
        <w:t xml:space="preserve">Bond Cost — </w:t>
      </w:r>
      <w:r>
        <w:rPr>
          <w:rFonts w:ascii="Lato" w:cs="Lato" w:eastAsia="Lato" w:hAnsi="Lato"/>
          <w:color w:val="1A1A1A"/>
          <w:sz w:val="22"/>
          <w:szCs w:val="22"/>
        </w:rPr>
        <w:t xml:space="preserve">shall be included in the Base Bid (Section 13), not billed separately or as a reimbursable.</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WHEN TO WAIVE BONDING</w:t>
            </w:r>
          </w:p>
          <w:p>
            <w:pPr>
              <w:spacing w:after="0" w:before="0" w:line="300"/>
              <w:jc w:val="left"/>
            </w:pPr>
            <w:r>
              <w:rPr>
                <w:rFonts w:ascii="Lato" w:cs="Lato" w:eastAsia="Lato" w:hAnsi="Lato"/>
                <w:color w:val="1A1A1A"/>
                <w:sz w:val="22"/>
                <w:szCs w:val="22"/>
              </w:rPr>
              <w:t xml:space="preserve">For Tier 3–4 professional services (management, accounting, attorney, reserve study), bonding is not customary and may be waived in favor of professional liability / E&amp;O insurance (Section 10). For very small capital projects (below the threshold above) or for vendors with longstanding relationships and financial transparency, the Board may waive bonding by recorded vote — but the rationale should be documented in the minutes and counsel should confirm the waiver does not create an avoidable risk.</w:t>
            </w:r>
          </w:p>
        </w:tc>
      </w:tr>
    </w:tbl>
    <w:p>
      <w:r>
        <w:br w:type="page"/>
      </w:r>
    </w:p>
    <w:p>
      <w:pPr>
        <w:spacing w:after="60" w:before="0"/>
      </w:pPr>
      <w:r>
        <w:rPr>
          <w:rFonts w:ascii="Lato" w:cs="Lato" w:eastAsia="Lato" w:hAnsi="Lato"/>
          <w:b/>
          <w:bCs/>
          <w:color w:val="C9A24A"/>
          <w:spacing w:val="100"/>
          <w:sz w:val="16"/>
          <w:szCs w:val="16"/>
        </w:rPr>
        <w:t xml:space="preserve">SECTION 12</w:t>
      </w:r>
    </w:p>
    <w:p>
      <w:pPr>
        <w:pStyle w:val="Heading1"/>
        <w:spacing w:after="160" w:before="280"/>
      </w:pPr>
      <w:r>
        <w:rPr>
          <w:rFonts w:ascii="Garamond" w:cs="Garamond" w:eastAsia="Garamond" w:hAnsi="Garamond"/>
          <w:b/>
          <w:bCs/>
          <w:color w:val="173F35"/>
          <w:sz w:val="40"/>
          <w:szCs w:val="40"/>
        </w:rPr>
        <w:t xml:space="preserve">Contract Terms (Summary)</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awarded Vendor shall enter into a written contract on terms substantially as follows. Final terms are subject to negotiation and counsel review.</w:t>
      </w:r>
    </w:p>
    <w:p>
      <w:pPr>
        <w:pStyle w:val="ListParagraph"/>
        <w:numPr>
          <w:ilvl w:val="0"/>
          <w:numId w:val="2"/>
        </w:numPr>
        <w:spacing w:after="60" w:before="40" w:line="290"/>
      </w:pPr>
      <w:r>
        <w:rPr>
          <w:rFonts w:ascii="Lato" w:cs="Lato" w:eastAsia="Lato" w:hAnsi="Lato"/>
          <w:b/>
          <w:bCs/>
          <w:color w:val="173F35"/>
          <w:sz w:val="22"/>
          <w:szCs w:val="22"/>
        </w:rPr>
        <w:t xml:space="preserve">Form — </w:t>
      </w:r>
      <w:r>
        <w:rPr>
          <w:rFonts w:ascii="Lato" w:cs="Lato" w:eastAsia="Lato" w:hAnsi="Lato"/>
          <w:color w:val="1A1A1A"/>
          <w:sz w:val="22"/>
          <w:szCs w:val="22"/>
        </w:rPr>
        <w:t xml:space="preserve">Capital projects: CIC-SC Construction Contract or industry-standard AIA forms (A101 / A201) with Association-specific riders. Professional services: a Professional Services Agreement specific to the service type, drafted by Association counsel. </w:t>
      </w:r>
      <w:r>
        <w:rPr>
          <w:rFonts w:ascii="Lato" w:cs="Lato" w:eastAsia="Lato" w:hAnsi="Lato"/>
          <w:i/>
          <w:iCs/>
          <w:color w:val="C9A24A"/>
          <w:sz w:val="22"/>
          <w:szCs w:val="22"/>
        </w:rPr>
        <w:t xml:space="preserve">The Tier 1/2 Vendor Services Agreement is generally not appropriate.</w:t>
      </w:r>
    </w:p>
    <w:p>
      <w:pPr>
        <w:pStyle w:val="ListParagraph"/>
        <w:numPr>
          <w:ilvl w:val="0"/>
          <w:numId w:val="2"/>
        </w:numPr>
        <w:spacing w:after="60" w:before="40" w:line="290"/>
      </w:pPr>
      <w:r>
        <w:rPr>
          <w:rFonts w:ascii="Lato" w:cs="Lato" w:eastAsia="Lato" w:hAnsi="Lato"/>
          <w:b/>
          <w:bCs/>
          <w:color w:val="173F35"/>
          <w:sz w:val="22"/>
          <w:szCs w:val="22"/>
        </w:rPr>
        <w:t xml:space="preserve">Pricing &amp; Payment — </w:t>
      </w:r>
      <w:r>
        <w:rPr>
          <w:rFonts w:ascii="Lato" w:cs="Lato" w:eastAsia="Lato" w:hAnsi="Lato"/>
          <w:color w:val="1A1A1A"/>
          <w:sz w:val="22"/>
          <w:szCs w:val="22"/>
        </w:rPr>
        <w:t xml:space="preserve">Capital: milestone-based payment tied to schedule of values; 5–10% retainage held until Substantial Completion / Final Completion; final retainage released on receipt of all lien waivers and warranties. Professional services: monthly fixed fee or hourly with not-to-exceed; annual rate review.</w:t>
      </w:r>
    </w:p>
    <w:p>
      <w:pPr>
        <w:pStyle w:val="ListParagraph"/>
        <w:numPr>
          <w:ilvl w:val="0"/>
          <w:numId w:val="2"/>
        </w:numPr>
        <w:spacing w:after="60" w:before="40" w:line="290"/>
      </w:pPr>
      <w:r>
        <w:rPr>
          <w:rFonts w:ascii="Lato" w:cs="Lato" w:eastAsia="Lato" w:hAnsi="Lato"/>
          <w:b/>
          <w:bCs/>
          <w:color w:val="173F35"/>
          <w:sz w:val="22"/>
          <w:szCs w:val="22"/>
        </w:rPr>
        <w:t xml:space="preserve">Change Orders — </w:t>
      </w:r>
      <w:r>
        <w:rPr>
          <w:rFonts w:ascii="Lato" w:cs="Lato" w:eastAsia="Lato" w:hAnsi="Lato"/>
          <w:color w:val="1A1A1A"/>
          <w:sz w:val="22"/>
          <w:szCs w:val="22"/>
        </w:rPr>
        <w:t xml:space="preserve">All changes in scope or price by written change order signed in advance by the Board President or designated officer. Manager may execute change orders below a Board-set dollar threshold.</w:t>
      </w:r>
    </w:p>
    <w:p>
      <w:pPr>
        <w:pStyle w:val="ListParagraph"/>
        <w:numPr>
          <w:ilvl w:val="0"/>
          <w:numId w:val="2"/>
        </w:numPr>
        <w:spacing w:after="60" w:before="40" w:line="290"/>
      </w:pPr>
      <w:r>
        <w:rPr>
          <w:rFonts w:ascii="Lato" w:cs="Lato" w:eastAsia="Lato" w:hAnsi="Lato"/>
          <w:b/>
          <w:bCs/>
          <w:color w:val="173F35"/>
          <w:sz w:val="22"/>
          <w:szCs w:val="22"/>
        </w:rPr>
        <w:t xml:space="preserve">Schedule — </w:t>
      </w:r>
      <w:r>
        <w:rPr>
          <w:rFonts w:ascii="Lato" w:cs="Lato" w:eastAsia="Lato" w:hAnsi="Lato"/>
          <w:color w:val="1A1A1A"/>
          <w:sz w:val="22"/>
          <w:szCs w:val="22"/>
        </w:rPr>
        <w:t xml:space="preserve">Substantial Completion Date and Final Completion Date as stated in Section 4.4; weather and force-majeure extensions documented in writing.</w:t>
      </w:r>
    </w:p>
    <w:p>
      <w:pPr>
        <w:pStyle w:val="ListParagraph"/>
        <w:numPr>
          <w:ilvl w:val="0"/>
          <w:numId w:val="2"/>
        </w:numPr>
        <w:spacing w:after="60" w:before="40" w:line="290"/>
      </w:pPr>
      <w:r>
        <w:rPr>
          <w:rFonts w:ascii="Lato" w:cs="Lato" w:eastAsia="Lato" w:hAnsi="Lato"/>
          <w:b/>
          <w:bCs/>
          <w:color w:val="173F35"/>
          <w:sz w:val="22"/>
          <w:szCs w:val="22"/>
        </w:rPr>
        <w:t xml:space="preserve">Termination for Convenience — </w:t>
      </w:r>
      <w:r>
        <w:rPr>
          <w:rFonts w:ascii="Lato" w:cs="Lato" w:eastAsia="Lato" w:hAnsi="Lato"/>
          <w:color w:val="1A1A1A"/>
          <w:sz w:val="22"/>
          <w:szCs w:val="22"/>
        </w:rPr>
        <w:t xml:space="preserve">Capital: limited; Association pays for work in place plus reasonable demobilization costs. Professional services: 60 days’ written notice without penalty (longer than Tier 1/2 reflecting transition complexity).</w:t>
      </w:r>
    </w:p>
    <w:p>
      <w:pPr>
        <w:pStyle w:val="ListParagraph"/>
        <w:numPr>
          <w:ilvl w:val="0"/>
          <w:numId w:val="2"/>
        </w:numPr>
        <w:spacing w:after="60" w:before="40" w:line="290"/>
      </w:pPr>
      <w:r>
        <w:rPr>
          <w:rFonts w:ascii="Lato" w:cs="Lato" w:eastAsia="Lato" w:hAnsi="Lato"/>
          <w:b/>
          <w:bCs/>
          <w:color w:val="173F35"/>
          <w:sz w:val="22"/>
          <w:szCs w:val="22"/>
        </w:rPr>
        <w:t xml:space="preserve">Termination for Cause — </w:t>
      </w:r>
      <w:r>
        <w:rPr>
          <w:rFonts w:ascii="Lato" w:cs="Lato" w:eastAsia="Lato" w:hAnsi="Lato"/>
          <w:color w:val="1A1A1A"/>
          <w:sz w:val="22"/>
          <w:szCs w:val="22"/>
        </w:rPr>
        <w:t xml:space="preserve">Immediate on written notice after fifteen (15) day cure period for Material Breach. Surety steps in on capital projects to complete via performance bond.</w:t>
      </w:r>
    </w:p>
    <w:p>
      <w:pPr>
        <w:pStyle w:val="ListParagraph"/>
        <w:numPr>
          <w:ilvl w:val="0"/>
          <w:numId w:val="2"/>
        </w:numPr>
        <w:spacing w:after="60" w:before="40" w:line="290"/>
      </w:pPr>
      <w:r>
        <w:rPr>
          <w:rFonts w:ascii="Lato" w:cs="Lato" w:eastAsia="Lato" w:hAnsi="Lato"/>
          <w:b/>
          <w:bCs/>
          <w:color w:val="173F35"/>
          <w:sz w:val="22"/>
          <w:szCs w:val="22"/>
        </w:rPr>
        <w:t xml:space="preserve">Lien Waivers — </w:t>
      </w:r>
      <w:r>
        <w:rPr>
          <w:rFonts w:ascii="Lato" w:cs="Lato" w:eastAsia="Lato" w:hAnsi="Lato"/>
          <w:color w:val="1A1A1A"/>
          <w:sz w:val="22"/>
          <w:szCs w:val="22"/>
        </w:rPr>
        <w:t xml:space="preserve">Capital: progress lien waivers with each draw; unconditional final lien waivers with final payment; Vendor and all subcontractors / suppliers. References Tex. Prop. Code Ch. 53 (Texas) and Fla. Stat. Ch. 713 (Florida).</w:t>
      </w:r>
    </w:p>
    <w:p>
      <w:pPr>
        <w:pStyle w:val="ListParagraph"/>
        <w:numPr>
          <w:ilvl w:val="0"/>
          <w:numId w:val="2"/>
        </w:numPr>
        <w:spacing w:after="60" w:before="40" w:line="290"/>
      </w:pPr>
      <w:r>
        <w:rPr>
          <w:rFonts w:ascii="Lato" w:cs="Lato" w:eastAsia="Lato" w:hAnsi="Lato"/>
          <w:b/>
          <w:bCs/>
          <w:color w:val="173F35"/>
          <w:sz w:val="22"/>
          <w:szCs w:val="22"/>
        </w:rPr>
        <w:t xml:space="preserve">Warranties — </w:t>
      </w:r>
      <w:r>
        <w:rPr>
          <w:rFonts w:ascii="Lato" w:cs="Lato" w:eastAsia="Lato" w:hAnsi="Lato"/>
          <w:color w:val="1A1A1A"/>
          <w:sz w:val="22"/>
          <w:szCs w:val="22"/>
        </w:rPr>
        <w:t xml:space="preserve">Vendor warranty of workmanship — one (1) year minimum; manufacturer warranties on materials enrolled in Association’s name; turnover at Final Completion.</w:t>
      </w:r>
    </w:p>
    <w:p>
      <w:pPr>
        <w:pStyle w:val="ListParagraph"/>
        <w:numPr>
          <w:ilvl w:val="0"/>
          <w:numId w:val="2"/>
        </w:numPr>
        <w:spacing w:after="60" w:before="40" w:line="290"/>
      </w:pPr>
      <w:r>
        <w:rPr>
          <w:rFonts w:ascii="Lato" w:cs="Lato" w:eastAsia="Lato" w:hAnsi="Lato"/>
          <w:b/>
          <w:bCs/>
          <w:color w:val="173F35"/>
          <w:sz w:val="22"/>
          <w:szCs w:val="22"/>
        </w:rPr>
        <w:t xml:space="preserve">Liquidated Damages (capital) — </w:t>
      </w:r>
      <w:r>
        <w:rPr>
          <w:rFonts w:ascii="Lato" w:cs="Lato" w:eastAsia="Lato" w:hAnsi="Lato"/>
          <w:color w:val="1A1A1A"/>
          <w:sz w:val="22"/>
          <w:szCs w:val="22"/>
        </w:rPr>
        <w:t xml:space="preserve">Optional; if used, stated in Section 4.4. Counsel review required to confirm enforceability under applicable state law.</w:t>
      </w:r>
    </w:p>
    <w:p>
      <w:pPr>
        <w:pStyle w:val="ListParagraph"/>
        <w:numPr>
          <w:ilvl w:val="0"/>
          <w:numId w:val="2"/>
        </w:numPr>
        <w:spacing w:after="60" w:before="40" w:line="290"/>
      </w:pPr>
      <w:r>
        <w:rPr>
          <w:rFonts w:ascii="Lato" w:cs="Lato" w:eastAsia="Lato" w:hAnsi="Lato"/>
          <w:b/>
          <w:bCs/>
          <w:color w:val="173F35"/>
          <w:sz w:val="22"/>
          <w:szCs w:val="22"/>
        </w:rPr>
        <w:t xml:space="preserve">Compliance — </w:t>
      </w:r>
      <w:r>
        <w:rPr>
          <w:rFonts w:ascii="Lato" w:cs="Lato" w:eastAsia="Lato" w:hAnsi="Lato"/>
          <w:color w:val="1A1A1A"/>
          <w:sz w:val="22"/>
          <w:szCs w:val="22"/>
        </w:rPr>
        <w:t xml:space="preserve">Vendor shall comply with all applicable federal, state, and local law, including, in Texas, the Texas Property Code, and in Florida, Chapters 718 and 720 of the Florida Statutes, as applicable; Fla. Stat. §§ 718.3026 / 718.3025 for condominium and management-contract context.</w:t>
      </w:r>
    </w:p>
    <w:p>
      <w:r>
        <w:br w:type="page"/>
      </w:r>
    </w:p>
    <w:p>
      <w:pPr>
        <w:spacing w:after="60" w:before="0"/>
      </w:pPr>
      <w:r>
        <w:rPr>
          <w:rFonts w:ascii="Lato" w:cs="Lato" w:eastAsia="Lato" w:hAnsi="Lato"/>
          <w:b/>
          <w:bCs/>
          <w:color w:val="C9A24A"/>
          <w:spacing w:val="100"/>
          <w:sz w:val="16"/>
          <w:szCs w:val="16"/>
        </w:rPr>
        <w:t xml:space="preserve">SECTION 13  /  FORM 3</w:t>
      </w:r>
    </w:p>
    <w:p>
      <w:pPr>
        <w:pStyle w:val="Heading1"/>
        <w:spacing w:after="160" w:before="280"/>
      </w:pPr>
      <w:r>
        <w:rPr>
          <w:rFonts w:ascii="Garamond" w:cs="Garamond" w:eastAsia="Garamond" w:hAnsi="Garamond"/>
          <w:b/>
          <w:bCs/>
          <w:color w:val="173F35"/>
          <w:sz w:val="40"/>
          <w:szCs w:val="40"/>
        </w:rPr>
        <w:t xml:space="preserve">Bid Sheet</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All pricing inclusive of state, local, and applicable taxes; bond costs; mobilization; demobilization; submittals; and warranties unless explicitly excluded. Pricing valid ninety (90) days after Proposal Due Date.</w:t>
      </w:r>
    </w:p>
    <w:p>
      <w:pPr>
        <w:pStyle w:val="Heading3"/>
        <w:spacing w:after="160" w:before="280"/>
      </w:pPr>
      <w:r>
        <w:rPr>
          <w:rFonts w:ascii="Garamond" w:cs="Garamond" w:eastAsia="Garamond" w:hAnsi="Garamond"/>
          <w:b/>
          <w:bCs/>
          <w:color w:val="173F35"/>
          <w:sz w:val="26"/>
          <w:szCs w:val="26"/>
        </w:rPr>
        <w:t xml:space="preserve">13.1  Base Bid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BASE BID LINE ITEM</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PRICE ($)</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Base scope of work (Section 4.1)</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Mobilization / Demobilization</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General Conditions</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Insurance and Bonds (capital)</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Permits and Fees</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
            </w:r>
          </w:p>
        </w:tc>
      </w:tr>
      <w:tr>
        <w:tc>
          <w:tcPr>
            <w:tcW w:type="dxa" w:w="624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TOTAL BASE BID</w:t>
            </w:r>
          </w:p>
        </w:tc>
        <w:tc>
          <w:tcPr>
            <w:tcW w:type="dxa" w:w="312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13.2  Allowances</w:t>
      </w:r>
    </w:p>
    <w:p>
      <w:pPr>
        <w:spacing w:after="100" w:before="0" w:line="300"/>
        <w:jc w:val="left"/>
      </w:pPr>
      <w:r>
        <w:rPr>
          <w:rFonts w:ascii="Lato" w:cs="Lato" w:eastAsia="Lato" w:hAnsi="Lato"/>
          <w:i/>
          <w:iCs/>
          <w:color w:val="5C5C5C"/>
          <w:sz w:val="22"/>
          <w:szCs w:val="22"/>
        </w:rPr>
        <w:t xml:space="preserve">Allowances are pre-approved dollar amounts included in the Base Bid for work whose scope or quantity cannot be precisely defined at bid time. Unused allowance is credited to the Association at completion.</w:t>
      </w:r>
    </w:p>
    <w:p>
      <w:pPr>
        <w:pStyle w:val="ListParagraph"/>
        <w:numPr>
          <w:ilvl w:val="0"/>
          <w:numId w:val="2"/>
        </w:numPr>
        <w:spacing w:after="60" w:before="40" w:line="290"/>
      </w:pPr>
      <w:r>
        <w:rPr>
          <w:rFonts w:ascii="Lato" w:cs="Lato" w:eastAsia="Lato" w:hAnsi="Lato"/>
          <w:color w:val="1A1A1A"/>
          <w:sz w:val="22"/>
          <w:szCs w:val="22"/>
        </w:rPr>
        <w:t xml:space="preserve">[Allowance Item A — description and dollar amount]</w:t>
      </w:r>
    </w:p>
    <w:p>
      <w:pPr>
        <w:pStyle w:val="ListParagraph"/>
        <w:numPr>
          <w:ilvl w:val="0"/>
          <w:numId w:val="2"/>
        </w:numPr>
        <w:spacing w:after="60" w:before="40" w:line="290"/>
      </w:pPr>
      <w:r>
        <w:rPr>
          <w:rFonts w:ascii="Lato" w:cs="Lato" w:eastAsia="Lato" w:hAnsi="Lato"/>
          <w:color w:val="1A1A1A"/>
          <w:sz w:val="22"/>
          <w:szCs w:val="22"/>
        </w:rPr>
        <w:t xml:space="preserve">[Allowance Item B — description and dollar amount]</w:t>
      </w:r>
    </w:p>
    <w:p>
      <w:pPr>
        <w:pStyle w:val="Heading3"/>
        <w:spacing w:after="160" w:before="280"/>
      </w:pPr>
      <w:r>
        <w:rPr>
          <w:rFonts w:ascii="Garamond" w:cs="Garamond" w:eastAsia="Garamond" w:hAnsi="Garamond"/>
          <w:b/>
          <w:bCs/>
          <w:color w:val="173F35"/>
          <w:sz w:val="26"/>
          <w:szCs w:val="26"/>
        </w:rPr>
        <w:t xml:space="preserve">13.3  Alternates</w:t>
      </w:r>
    </w:p>
    <w:p>
      <w:pPr>
        <w:spacing w:after="100" w:before="0" w:line="300"/>
        <w:jc w:val="left"/>
      </w:pPr>
      <w:r>
        <w:rPr>
          <w:rFonts w:ascii="Lato" w:cs="Lato" w:eastAsia="Lato" w:hAnsi="Lato"/>
          <w:i/>
          <w:iCs/>
          <w:color w:val="5C5C5C"/>
          <w:sz w:val="22"/>
          <w:szCs w:val="22"/>
        </w:rPr>
        <w:t xml:space="preserve">Alternates are optional scope items the Association may elect to add to or subtract from the Base Bid before contract execution.</w:t>
      </w:r>
    </w:p>
    <w:p>
      <w:pPr>
        <w:pStyle w:val="ListParagraph"/>
        <w:numPr>
          <w:ilvl w:val="0"/>
          <w:numId w:val="2"/>
        </w:numPr>
        <w:spacing w:after="60" w:before="40" w:line="290"/>
      </w:pPr>
      <w:r>
        <w:rPr>
          <w:rFonts w:ascii="Lato" w:cs="Lato" w:eastAsia="Lato" w:hAnsi="Lato"/>
          <w:color w:val="1A1A1A"/>
          <w:sz w:val="22"/>
          <w:szCs w:val="22"/>
        </w:rPr>
        <w:t xml:space="preserve">[Alternate 1 — description and add / deduct $ amount]</w:t>
      </w:r>
    </w:p>
    <w:p>
      <w:pPr>
        <w:pStyle w:val="ListParagraph"/>
        <w:numPr>
          <w:ilvl w:val="0"/>
          <w:numId w:val="2"/>
        </w:numPr>
        <w:spacing w:after="60" w:before="40" w:line="290"/>
      </w:pPr>
      <w:r>
        <w:rPr>
          <w:rFonts w:ascii="Lato" w:cs="Lato" w:eastAsia="Lato" w:hAnsi="Lato"/>
          <w:color w:val="1A1A1A"/>
          <w:sz w:val="22"/>
          <w:szCs w:val="22"/>
        </w:rPr>
        <w:t xml:space="preserve">[Alternate 2 — description and add / deduct $ amount]</w:t>
      </w:r>
    </w:p>
    <w:p>
      <w:pPr>
        <w:pStyle w:val="Heading3"/>
        <w:spacing w:after="160" w:before="280"/>
      </w:pPr>
      <w:r>
        <w:rPr>
          <w:rFonts w:ascii="Garamond" w:cs="Garamond" w:eastAsia="Garamond" w:hAnsi="Garamond"/>
          <w:b/>
          <w:bCs/>
          <w:color w:val="173F35"/>
          <w:sz w:val="26"/>
          <w:szCs w:val="26"/>
        </w:rPr>
        <w:t xml:space="preserve">13.4  Hourly Rates (Professional Services)</w:t>
      </w:r>
    </w:p>
    <w:p>
      <w:pPr>
        <w:pStyle w:val="ListParagraph"/>
        <w:numPr>
          <w:ilvl w:val="0"/>
          <w:numId w:val="2"/>
        </w:numPr>
        <w:spacing w:after="60" w:before="40" w:line="290"/>
      </w:pPr>
      <w:r>
        <w:rPr>
          <w:rFonts w:ascii="Lato" w:cs="Lato" w:eastAsia="Lato" w:hAnsi="Lato"/>
          <w:color w:val="1A1A1A"/>
          <w:sz w:val="22"/>
          <w:szCs w:val="22"/>
        </w:rPr>
        <w:t xml:space="preserve">[Senior / Principal — $ per hour]</w:t>
      </w:r>
    </w:p>
    <w:p>
      <w:pPr>
        <w:pStyle w:val="ListParagraph"/>
        <w:numPr>
          <w:ilvl w:val="0"/>
          <w:numId w:val="2"/>
        </w:numPr>
        <w:spacing w:after="60" w:before="40" w:line="290"/>
      </w:pPr>
      <w:r>
        <w:rPr>
          <w:rFonts w:ascii="Lato" w:cs="Lato" w:eastAsia="Lato" w:hAnsi="Lato"/>
          <w:color w:val="1A1A1A"/>
          <w:sz w:val="22"/>
          <w:szCs w:val="22"/>
        </w:rPr>
        <w:t xml:space="preserve">[Associate / Manager — $ per hour]</w:t>
      </w:r>
    </w:p>
    <w:p>
      <w:pPr>
        <w:pStyle w:val="ListParagraph"/>
        <w:numPr>
          <w:ilvl w:val="0"/>
          <w:numId w:val="2"/>
        </w:numPr>
        <w:spacing w:after="60" w:before="40" w:line="290"/>
      </w:pPr>
      <w:r>
        <w:rPr>
          <w:rFonts w:ascii="Lato" w:cs="Lato" w:eastAsia="Lato" w:hAnsi="Lato"/>
          <w:color w:val="1A1A1A"/>
          <w:sz w:val="22"/>
          <w:szCs w:val="22"/>
        </w:rPr>
        <w:t xml:space="preserve">[Staff / Analyst — $ per hour]</w:t>
      </w:r>
    </w:p>
    <w:p>
      <w:pPr>
        <w:pStyle w:val="ListParagraph"/>
        <w:numPr>
          <w:ilvl w:val="0"/>
          <w:numId w:val="2"/>
        </w:numPr>
        <w:spacing w:after="60" w:before="40" w:line="290"/>
      </w:pPr>
      <w:r>
        <w:rPr>
          <w:rFonts w:ascii="Lato" w:cs="Lato" w:eastAsia="Lato" w:hAnsi="Lato"/>
          <w:color w:val="1A1A1A"/>
          <w:sz w:val="22"/>
          <w:szCs w:val="22"/>
        </w:rPr>
        <w:t xml:space="preserve">[Annual escalation, if any]</w:t>
      </w:r>
    </w:p>
    <w:p>
      <w:r>
        <w:br w:type="page"/>
      </w:r>
    </w:p>
    <w:p>
      <w:pPr>
        <w:spacing w:after="60" w:before="0"/>
      </w:pPr>
      <w:r>
        <w:rPr>
          <w:rFonts w:ascii="Lato" w:cs="Lato" w:eastAsia="Lato" w:hAnsi="Lato"/>
          <w:b/>
          <w:bCs/>
          <w:color w:val="C9A24A"/>
          <w:spacing w:val="100"/>
          <w:sz w:val="16"/>
          <w:szCs w:val="16"/>
        </w:rPr>
        <w:t xml:space="preserve">SECTION 14  /  FORM 4</w:t>
      </w:r>
    </w:p>
    <w:p>
      <w:pPr>
        <w:pStyle w:val="Heading1"/>
        <w:spacing w:after="160" w:before="280"/>
      </w:pPr>
      <w:r>
        <w:rPr>
          <w:rFonts w:ascii="Garamond" w:cs="Garamond" w:eastAsia="Garamond" w:hAnsi="Garamond"/>
          <w:b/>
          <w:bCs/>
          <w:color w:val="173F35"/>
          <w:sz w:val="40"/>
          <w:szCs w:val="40"/>
        </w:rPr>
        <w:t xml:space="preserve">Bid Authorization &amp; Affidavit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By signing below, the undersigned officer of the proposing company certifies, under penalty of perjury, the following:</w:t>
      </w:r>
    </w:p>
    <w:p>
      <w:pPr>
        <w:pStyle w:val="ListParagraph"/>
        <w:numPr>
          <w:ilvl w:val="0"/>
          <w:numId w:val="3"/>
        </w:numPr>
        <w:spacing w:after="100" w:before="60" w:line="300"/>
      </w:pPr>
      <w:r>
        <w:rPr>
          <w:rFonts w:ascii="Lato" w:cs="Lato" w:eastAsia="Lato" w:hAnsi="Lato"/>
          <w:color w:val="1A1A1A"/>
          <w:sz w:val="22"/>
          <w:szCs w:val="22"/>
        </w:rPr>
        <w:t xml:space="preserve">The proposing company has examined the RFP and its specifications, including all attached engineering, architectural, or operational documents.</w:t>
      </w:r>
    </w:p>
    <w:p>
      <w:pPr>
        <w:pStyle w:val="ListParagraph"/>
        <w:numPr>
          <w:ilvl w:val="0"/>
          <w:numId w:val="3"/>
        </w:numPr>
        <w:spacing w:after="100" w:before="60" w:line="300"/>
      </w:pPr>
      <w:r>
        <w:rPr>
          <w:rFonts w:ascii="Lato" w:cs="Lato" w:eastAsia="Lato" w:hAnsi="Lato"/>
          <w:color w:val="1A1A1A"/>
          <w:sz w:val="22"/>
          <w:szCs w:val="22"/>
        </w:rPr>
        <w:t xml:space="preserve">Neither the proposing company, nor any of its agents, officers, employees, affiliates, or relatives within the third degree of consanguinity or affinity, has — directly or indirectly — entered into any agreement, participated in any collusion, or otherwise taken any action in restraint of free competitive bidding.</w:t>
      </w:r>
    </w:p>
    <w:p>
      <w:pPr>
        <w:pStyle w:val="ListParagraph"/>
        <w:numPr>
          <w:ilvl w:val="0"/>
          <w:numId w:val="3"/>
        </w:numPr>
        <w:spacing w:after="100" w:before="60" w:line="300"/>
      </w:pPr>
      <w:r>
        <w:rPr>
          <w:rFonts w:ascii="Lato" w:cs="Lato" w:eastAsia="Lato" w:hAnsi="Lato"/>
          <w:color w:val="1A1A1A"/>
          <w:sz w:val="22"/>
          <w:szCs w:val="22"/>
        </w:rPr>
        <w:t xml:space="preserve">The proposing company has disclosed all known conflicts of interest as required by Section 7.</w:t>
      </w:r>
    </w:p>
    <w:p>
      <w:pPr>
        <w:pStyle w:val="ListParagraph"/>
        <w:numPr>
          <w:ilvl w:val="0"/>
          <w:numId w:val="3"/>
        </w:numPr>
        <w:spacing w:after="100" w:before="60" w:line="300"/>
      </w:pPr>
      <w:r>
        <w:rPr>
          <w:rFonts w:ascii="Lato" w:cs="Lato" w:eastAsia="Lato" w:hAnsi="Lato"/>
          <w:color w:val="1A1A1A"/>
          <w:sz w:val="22"/>
          <w:szCs w:val="22"/>
        </w:rPr>
        <w:t xml:space="preserve">All work proposed will be performed at the proposing company’s sole cost and expense, in the manner provided in the RFP and at the times specified.</w:t>
      </w:r>
    </w:p>
    <w:p>
      <w:pPr>
        <w:pStyle w:val="ListParagraph"/>
        <w:numPr>
          <w:ilvl w:val="0"/>
          <w:numId w:val="3"/>
        </w:numPr>
        <w:spacing w:after="100" w:before="60" w:line="300"/>
      </w:pPr>
      <w:r>
        <w:rPr>
          <w:rFonts w:ascii="Lato" w:cs="Lato" w:eastAsia="Lato" w:hAnsi="Lato"/>
          <w:color w:val="1A1A1A"/>
          <w:sz w:val="22"/>
          <w:szCs w:val="22"/>
        </w:rPr>
        <w:t xml:space="preserve">Pricing on the Bid Sheet is firm and valid for ninety (90) calendar days after the Proposal Due Date.</w:t>
      </w:r>
    </w:p>
    <w:p>
      <w:pPr>
        <w:pStyle w:val="ListParagraph"/>
        <w:numPr>
          <w:ilvl w:val="0"/>
          <w:numId w:val="3"/>
        </w:numPr>
        <w:spacing w:after="100" w:before="60" w:line="300"/>
      </w:pPr>
      <w:r>
        <w:rPr>
          <w:rFonts w:ascii="Lato" w:cs="Lato" w:eastAsia="Lato" w:hAnsi="Lato"/>
          <w:color w:val="1A1A1A"/>
          <w:sz w:val="22"/>
          <w:szCs w:val="22"/>
        </w:rPr>
        <w:t xml:space="preserve">The proposing company has the bonding capacity stated in the bonding capacity letter attached to this proposal (capital projects).</w:t>
      </w:r>
    </w:p>
    <w:p>
      <w:pPr>
        <w:pStyle w:val="ListParagraph"/>
        <w:numPr>
          <w:ilvl w:val="0"/>
          <w:numId w:val="3"/>
        </w:numPr>
        <w:spacing w:after="100" w:before="60" w:line="300"/>
      </w:pPr>
      <w:r>
        <w:rPr>
          <w:rFonts w:ascii="Lato" w:cs="Lato" w:eastAsia="Lato" w:hAnsi="Lato"/>
          <w:color w:val="1A1A1A"/>
          <w:sz w:val="22"/>
          <w:szCs w:val="22"/>
        </w:rPr>
        <w:t xml:space="preserve">The proposing company holds all state licensing required to perform the scope and will maintain that licensing throughout the contract term.</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Company Name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Date: ____________________________________</w:t>
            </w:r>
          </w:p>
          <w:p>
            <w:pPr>
              <w:spacing w:after="60" w:before="0" w:line="300"/>
              <w:jc w:val="left"/>
            </w:pPr>
            <w:r>
              <w:rPr>
                <w:rFonts w:ascii="Lato" w:cs="Lato" w:eastAsia="Lato" w:hAnsi="Lato"/>
                <w:color w:val="5C5C5C"/>
                <w:sz w:val="18"/>
                <w:szCs w:val="18"/>
              </w:rPr>
              <w:t xml:space="preserve">RFP Reference #: 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RFP — Adoption-Ready Template  •  Tier 3/4</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RFP Template — Tier 3/4</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Tier 3/4 Adoption-Ready Template</dc:title>
  <dc:creator>Common Interest Community Standards Council (CIC-SC)</dc:creator>
  <dc:description>CIC-SC Vendor Management Toolkit. Capital projects, professional services, management contracts. Texas &amp; Florida applicable.</dc:description>
  <cp:lastModifiedBy>Un-named</cp:lastModifiedBy>
  <cp:revision>1</cp:revision>
  <dcterms:created xsi:type="dcterms:W3CDTF">2026-05-10T21:58:52.643Z</dcterms:created>
  <dcterms:modified xsi:type="dcterms:W3CDTF">2026-05-10T21:58:52.644Z</dcterms:modified>
</cp:coreProperties>
</file>

<file path=docProps/custom.xml><?xml version="1.0" encoding="utf-8"?>
<Properties xmlns="http://schemas.openxmlformats.org/officeDocument/2006/custom-properties" xmlns:vt="http://schemas.openxmlformats.org/officeDocument/2006/docPropsVTypes"/>
</file>