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Vendor Management Toolkit  /  Volume 02 / Tier 1–2</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Request for</w:t>
      </w:r>
    </w:p>
    <w:p>
      <w:pPr>
        <w:spacing w:after="240" w:before="0"/>
        <w:jc w:val="left"/>
      </w:pPr>
      <w:r>
        <w:rPr>
          <w:rFonts w:ascii="Garamond" w:cs="Garamond" w:eastAsia="Garamond" w:hAnsi="Garamond"/>
          <w:i/>
          <w:iCs/>
          <w:color w:val="173F35"/>
          <w:sz w:val="60"/>
          <w:szCs w:val="60"/>
        </w:rPr>
        <w:t xml:space="preserve">Proposal</w:t>
      </w:r>
    </w:p>
    <w:p>
      <w:pPr>
        <w:spacing w:after="1200" w:before="80"/>
        <w:jc w:val="left"/>
      </w:pPr>
      <w:r>
        <w:rPr>
          <w:rFonts w:ascii="Lato" w:cs="Lato" w:eastAsia="Lato" w:hAnsi="Lato"/>
          <w:color w:val="1A1A1A"/>
          <w:sz w:val="24"/>
          <w:szCs w:val="24"/>
        </w:rPr>
        <w:t xml:space="preserve">Adoption-Ready RFP Template for Routine Recurring Services — Landscape, Pool, Pest Control, Janitorial, Trash, and Similar Vendor Categories.</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Vendor Toolkit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Association Managers  •  Self-Managed Associations  •  Committees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Comparative Proposal Evaluation Worksheet  •  Standalone RFP Drafts (Landscape, Pool)</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ABOUT THIS TEMPLATE</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This template is a complete, adoption-ready Request for Proposal for a Tier 1 or Tier 2 recurring service contract. It is built to be sent — once your association has filled in the bracketed placeholders and reviewed the document with the Board and (where appropriate) legal counsel.</w:t>
      </w:r>
    </w:p>
    <w:p>
      <w:pPr>
        <w:spacing w:after="120" w:before="0" w:line="320"/>
        <w:jc w:val="left"/>
      </w:pPr>
      <w:r>
        <w:rPr>
          <w:rFonts w:ascii="Lato" w:cs="Lato" w:eastAsia="Lato" w:hAnsi="Lato"/>
          <w:color w:val="1A1A1A"/>
          <w:sz w:val="22"/>
          <w:szCs w:val="22"/>
        </w:rPr>
        <w:t xml:space="preserve">Tier 1/2 services share three traits: they are recurring (monthly or seasonal), comparatively low-risk, and replaceable without major operational disruption if the vendor is changed at renewal. The most common categories are landscape and grounds maintenance, swimming pool and spa service, pest control, janitorial and porter services, trash and recycling, and (in Florida) lake and stormwater pond maintenance. The same RFP scaffold serves all of them — you change the Statement of Work and the Bid Sheet rows, not the underlying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HOW TO USE THIS DOCUMENT</w:t>
            </w:r>
          </w:p>
          <w:p>
            <w:pPr>
              <w:pStyle w:val="ListParagraph"/>
              <w:numPr>
                <w:ilvl w:val="0"/>
                <w:numId w:val="2"/>
              </w:numPr>
              <w:spacing w:after="60" w:before="40" w:line="290"/>
            </w:pPr>
            <w:r>
              <w:rPr>
                <w:rFonts w:ascii="Lato" w:cs="Lato" w:eastAsia="Lato" w:hAnsi="Lato"/>
                <w:color w:val="1A1A1A"/>
                <w:sz w:val="22"/>
                <w:szCs w:val="22"/>
              </w:rPr>
              <w:t xml:space="preserve">Replace every bracketed placeholder — e.g., [Association Name], [Service Category], [Performance Period] — with your association’s information.</w:t>
            </w:r>
          </w:p>
          <w:p>
            <w:pPr>
              <w:pStyle w:val="ListParagraph"/>
              <w:numPr>
                <w:ilvl w:val="0"/>
                <w:numId w:val="2"/>
              </w:numPr>
              <w:spacing w:after="60" w:before="40" w:line="290"/>
            </w:pPr>
            <w:r>
              <w:rPr>
                <w:rFonts w:ascii="Lato" w:cs="Lato" w:eastAsia="Lato" w:hAnsi="Lato"/>
                <w:color w:val="1A1A1A"/>
                <w:sz w:val="22"/>
                <w:szCs w:val="22"/>
              </w:rPr>
              <w:t xml:space="preserve">Customize the Statement of Work (Section 3) to your specific scope. Use plain, observable, measurable language. Do not over-specify methods; specify outcomes.</w:t>
            </w:r>
          </w:p>
          <w:p>
            <w:pPr>
              <w:pStyle w:val="ListParagraph"/>
              <w:numPr>
                <w:ilvl w:val="0"/>
                <w:numId w:val="2"/>
              </w:numPr>
              <w:spacing w:after="60" w:before="40" w:line="290"/>
            </w:pPr>
            <w:r>
              <w:rPr>
                <w:rFonts w:ascii="Lato" w:cs="Lato" w:eastAsia="Lato" w:hAnsi="Lato"/>
                <w:color w:val="1A1A1A"/>
                <w:sz w:val="22"/>
                <w:szCs w:val="22"/>
              </w:rPr>
              <w:t xml:space="preserve">Review the Insurance Requirements (Section 9) for adequacy and current state law. The defaults in this template are conservative and widely accepted, but your counsel and insurance broker should confirm them.</w:t>
            </w:r>
          </w:p>
          <w:p>
            <w:pPr>
              <w:pStyle w:val="ListParagraph"/>
              <w:numPr>
                <w:ilvl w:val="0"/>
                <w:numId w:val="2"/>
              </w:numPr>
              <w:spacing w:after="60" w:before="40" w:line="290"/>
            </w:pPr>
            <w:r>
              <w:rPr>
                <w:rFonts w:ascii="Lato" w:cs="Lato" w:eastAsia="Lato" w:hAnsi="Lato"/>
                <w:color w:val="1A1A1A"/>
                <w:sz w:val="22"/>
                <w:szCs w:val="22"/>
              </w:rPr>
              <w:t xml:space="preserve">Fill in the Schedule of Milestones (Section 5). Allow at least 35 calendar days between Release and Award.</w:t>
            </w:r>
          </w:p>
          <w:p>
            <w:pPr>
              <w:pStyle w:val="ListParagraph"/>
              <w:numPr>
                <w:ilvl w:val="0"/>
                <w:numId w:val="2"/>
              </w:numPr>
              <w:spacing w:after="60" w:before="40" w:line="290"/>
            </w:pPr>
            <w:r>
              <w:rPr>
                <w:rFonts w:ascii="Lato" w:cs="Lato" w:eastAsia="Lato" w:hAnsi="Lato"/>
                <w:color w:val="1A1A1A"/>
                <w:sz w:val="22"/>
                <w:szCs w:val="22"/>
              </w:rPr>
              <w:t xml:space="preserve">Distribute to a vendor list of at least three qualified bidders. CIC-SC recommends sourcing two from your region and one cold-outreach to expand the comparison set.</w:t>
            </w:r>
          </w:p>
          <w:p>
            <w:pPr>
              <w:pStyle w:val="ListParagraph"/>
              <w:numPr>
                <w:ilvl w:val="0"/>
                <w:numId w:val="2"/>
              </w:numPr>
              <w:spacing w:after="60" w:before="40" w:line="290"/>
            </w:pPr>
            <w:r>
              <w:rPr>
                <w:rFonts w:ascii="Lato" w:cs="Lato" w:eastAsia="Lato" w:hAnsi="Lato"/>
                <w:color w:val="1A1A1A"/>
                <w:sz w:val="22"/>
                <w:szCs w:val="22"/>
              </w:rPr>
              <w:t xml:space="preserve">Pair this RFP with the CIC-SC Comparative Proposal Evaluation Worksheet to score responses on a consistent, defensible basis.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LEGAL NOTICE</w:t>
            </w:r>
          </w:p>
          <w:p>
            <w:pPr>
              <w:spacing w:after="0" w:before="0" w:line="300"/>
              <w:jc w:val="left"/>
            </w:pPr>
            <w:r>
              <w:rPr>
                <w:rFonts w:ascii="Lato" w:cs="Lato" w:eastAsia="Lato" w:hAnsi="Lato"/>
                <w:color w:val="1A1A1A"/>
                <w:sz w:val="22"/>
                <w:szCs w:val="22"/>
              </w:rPr>
              <w:t xml:space="preserve">This template is a starting point, not legal advice. Insurance limits, contract law, lien rights, and licensing requirements vary between Texas and Florida and are amended periodically. Before issuing this RFP, your association’s legal counsel and insurance broker should confirm Section 9 (Insurance) and Section 10 (Contract Terms).</w:t>
            </w:r>
          </w:p>
        </w:tc>
      </w:tr>
    </w:tbl>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RFP is being issued by the Association identified below for the recurring services described in Section 3 (Statement of Work). Proposers should use this page as the cover sheet of their proposal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Name]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[Street, City, State, ZIP]</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of Operation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[Texas / Florida]</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[e.g., Landscape &amp; Grounds Maintenance]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[YYYY-MM-CategoryCode]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Performance Period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[Start Date]  through  [End Date]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 Type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[12-month  /  24-month  /  36-month with annual price review]</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Primary Point of Contact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[Name, Title]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[email@example.org]</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[(xxx) xxx-xxxx]</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Schedule of Milestones</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The following milestone dates govern this solicitation. The Association reserves the right to update any date by written notice to all known bidders.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rPr>
          <w:tblHeader/>
        </w:trPr>
        <w:tc>
          <w:tcPr>
            <w:tcW w:type="dxa" w:w="540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MILESTONE</w:t>
            </w:r>
          </w:p>
        </w:tc>
        <w:tc>
          <w:tcPr>
            <w:tcW w:type="dxa" w:w="39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RFP released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[Release Date]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Pre-proposal site visit (if any)</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Time / Location]</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Bidder questions due</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 Time]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Association responses to questions</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Proposals due (sealed, by email/mail)</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 5:00 PM Local Time]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Vendor follow-up clarifications</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Notice of Intent to Award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r>
      <w:tr>
        <w:tc>
          <w:tcPr>
            <w:tcW w:type="dxa" w:w="540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negotiation period</w:t>
            </w:r>
          </w:p>
        </w:tc>
        <w:tc>
          <w:tcPr>
            <w:tcW w:type="dxa" w:w="396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Range]</w:t>
            </w:r>
          </w:p>
        </w:tc>
      </w:tr>
      <w:tr>
        <w:tc>
          <w:tcPr>
            <w:tcW w:type="dxa" w:w="540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Contract start (Performance Period)</w:t>
            </w:r>
          </w:p>
        </w:tc>
        <w:tc>
          <w:tcPr>
            <w:tcW w:type="dxa" w:w="396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[Start Date]</w:t>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Statement of Work</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Describe the scope of services in plain, outcome-oriented language. The most common error in Tier 1/2 RFPs is over-specifying method; instead, specify the result the Association expects and the frequency at which it must be observable.</w:t>
      </w:r>
    </w:p>
    <w:p>
      <w:pPr>
        <w:pStyle w:val="Heading3"/>
        <w:spacing w:after="160" w:before="280"/>
      </w:pPr>
      <w:r>
        <w:rPr>
          <w:rFonts w:ascii="Garamond" w:cs="Garamond" w:eastAsia="Garamond" w:hAnsi="Garamond"/>
          <w:b/>
          <w:bCs/>
          <w:color w:val="173F35"/>
          <w:sz w:val="26"/>
          <w:szCs w:val="26"/>
        </w:rPr>
        <w:t xml:space="preserve">3.1  Services Included</w:t>
      </w:r>
    </w:p>
    <w:p>
      <w:pPr>
        <w:pStyle w:val="ListParagraph"/>
        <w:numPr>
          <w:ilvl w:val="0"/>
          <w:numId w:val="2"/>
        </w:numPr>
        <w:spacing w:after="60" w:before="40" w:line="290"/>
      </w:pPr>
      <w:r>
        <w:rPr>
          <w:rFonts w:ascii="Lato" w:cs="Lato" w:eastAsia="Lato" w:hAnsi="Lato"/>
          <w:color w:val="1A1A1A"/>
          <w:sz w:val="22"/>
          <w:szCs w:val="22"/>
        </w:rPr>
        <w:t xml:space="preserve">[Describe primary recurring service. e.g., Mowing, edging, and string-trimming of all common-area turf, performed at the frequency specified in Section 3.4.]</w:t>
      </w:r>
    </w:p>
    <w:p>
      <w:pPr>
        <w:pStyle w:val="ListParagraph"/>
        <w:numPr>
          <w:ilvl w:val="0"/>
          <w:numId w:val="2"/>
        </w:numPr>
        <w:spacing w:after="60" w:before="40" w:line="290"/>
      </w:pPr>
      <w:r>
        <w:rPr>
          <w:rFonts w:ascii="Lato" w:cs="Lato" w:eastAsia="Lato" w:hAnsi="Lato"/>
          <w:color w:val="1A1A1A"/>
          <w:sz w:val="22"/>
          <w:szCs w:val="22"/>
        </w:rPr>
        <w:t xml:space="preserve">[Describe secondary recurring services. e.g., Shrub and ornamental tree pruning, fertilization program, weed and pest management, irrigation system inspection and minor repair.]</w:t>
      </w:r>
    </w:p>
    <w:p>
      <w:pPr>
        <w:pStyle w:val="ListParagraph"/>
        <w:numPr>
          <w:ilvl w:val="0"/>
          <w:numId w:val="2"/>
        </w:numPr>
        <w:spacing w:after="60" w:before="40" w:line="290"/>
      </w:pPr>
      <w:r>
        <w:rPr>
          <w:rFonts w:ascii="Lato" w:cs="Lato" w:eastAsia="Lato" w:hAnsi="Lato"/>
          <w:color w:val="1A1A1A"/>
          <w:sz w:val="22"/>
          <w:szCs w:val="22"/>
        </w:rPr>
        <w:t xml:space="preserve">[Describe seasonal services. e.g., Spring cleanup, fall leaf removal, annual color rotation (number of rotations and approximate flat counts).]</w:t>
      </w:r>
    </w:p>
    <w:p>
      <w:pPr>
        <w:pStyle w:val="ListParagraph"/>
        <w:numPr>
          <w:ilvl w:val="0"/>
          <w:numId w:val="2"/>
        </w:numPr>
        <w:spacing w:after="60" w:before="40" w:line="290"/>
      </w:pPr>
      <w:r>
        <w:rPr>
          <w:rFonts w:ascii="Lato" w:cs="Lato" w:eastAsia="Lato" w:hAnsi="Lato"/>
          <w:color w:val="1A1A1A"/>
          <w:sz w:val="22"/>
          <w:szCs w:val="22"/>
        </w:rPr>
        <w:t xml:space="preserve">[Describe inspection and reporting requirements. e.g., Monthly written walk-through report submitted to the Board and Manager within five (5) business days of month-end.]</w:t>
      </w:r>
    </w:p>
    <w:p>
      <w:pPr>
        <w:pStyle w:val="Heading3"/>
        <w:spacing w:after="160" w:before="280"/>
      </w:pPr>
      <w:r>
        <w:rPr>
          <w:rFonts w:ascii="Garamond" w:cs="Garamond" w:eastAsia="Garamond" w:hAnsi="Garamond"/>
          <w:b/>
          <w:bCs/>
          <w:color w:val="173F35"/>
          <w:sz w:val="26"/>
          <w:szCs w:val="26"/>
        </w:rPr>
        <w:t xml:space="preserve">3.2  Services Excluded</w:t>
      </w:r>
    </w:p>
    <w:p>
      <w:pPr>
        <w:pStyle w:val="ListParagraph"/>
        <w:numPr>
          <w:ilvl w:val="0"/>
          <w:numId w:val="2"/>
        </w:numPr>
        <w:spacing w:after="60" w:before="40" w:line="290"/>
      </w:pPr>
      <w:r>
        <w:rPr>
          <w:rFonts w:ascii="Lato" w:cs="Lato" w:eastAsia="Lato" w:hAnsi="Lato"/>
          <w:color w:val="1A1A1A"/>
          <w:sz w:val="22"/>
          <w:szCs w:val="22"/>
        </w:rPr>
        <w:t xml:space="preserve">[List services that are NOT included and will be billed under the As-Needed Labor Rate or as separately approved work orders. e.g., Major tree removal, hardscape repair, capital improvements.]</w:t>
      </w:r>
    </w:p>
    <w:p>
      <w:pPr>
        <w:pStyle w:val="Heading3"/>
        <w:spacing w:after="160" w:before="280"/>
      </w:pPr>
      <w:r>
        <w:rPr>
          <w:rFonts w:ascii="Garamond" w:cs="Garamond" w:eastAsia="Garamond" w:hAnsi="Garamond"/>
          <w:b/>
          <w:bCs/>
          <w:color w:val="173F35"/>
          <w:sz w:val="26"/>
          <w:szCs w:val="26"/>
        </w:rPr>
        <w:t xml:space="preserve">3.3  Property Description</w:t>
      </w:r>
    </w:p>
    <w:p>
      <w:pPr>
        <w:pStyle w:val="ListParagraph"/>
        <w:numPr>
          <w:ilvl w:val="0"/>
          <w:numId w:val="2"/>
        </w:numPr>
        <w:spacing w:after="60" w:before="40" w:line="290"/>
      </w:pPr>
      <w:r>
        <w:rPr>
          <w:rFonts w:ascii="Lato" w:cs="Lato" w:eastAsia="Lato" w:hAnsi="Lato"/>
          <w:color w:val="1A1A1A"/>
          <w:sz w:val="22"/>
          <w:szCs w:val="22"/>
        </w:rPr>
        <w:t xml:space="preserve">[Approximate total acreage of common areas and a brief description — turf, beds, irrigated areas, etc. Attach a property map as Attachment A if available.]</w:t>
      </w:r>
    </w:p>
    <w:p>
      <w:pPr>
        <w:pStyle w:val="ListParagraph"/>
        <w:numPr>
          <w:ilvl w:val="0"/>
          <w:numId w:val="2"/>
        </w:numPr>
        <w:spacing w:after="60" w:before="40" w:line="290"/>
      </w:pPr>
      <w:r>
        <w:rPr>
          <w:rFonts w:ascii="Lato" w:cs="Lato" w:eastAsia="Lato" w:hAnsi="Lato"/>
          <w:color w:val="1A1A1A"/>
          <w:sz w:val="22"/>
          <w:szCs w:val="22"/>
        </w:rPr>
        <w:t xml:space="preserve">[Number and description of major amenities or features within the scope — pool decks, trail systems, entry features, ponds.]</w:t>
      </w:r>
    </w:p>
    <w:p>
      <w:pPr>
        <w:pStyle w:val="ListParagraph"/>
        <w:numPr>
          <w:ilvl w:val="0"/>
          <w:numId w:val="2"/>
        </w:numPr>
        <w:spacing w:after="60" w:before="40" w:line="290"/>
      </w:pPr>
      <w:r>
        <w:rPr>
          <w:rFonts w:ascii="Lato" w:cs="Lato" w:eastAsia="Lato" w:hAnsi="Lato"/>
          <w:color w:val="1A1A1A"/>
          <w:sz w:val="22"/>
          <w:szCs w:val="22"/>
        </w:rPr>
        <w:t xml:space="preserve">[Site access and operational notes — gate codes, access hours, restricted areas, neighboring obligations.]</w:t>
      </w:r>
    </w:p>
    <w:p>
      <w:pPr>
        <w:pStyle w:val="Heading3"/>
        <w:spacing w:after="160" w:before="280"/>
      </w:pPr>
      <w:r>
        <w:rPr>
          <w:rFonts w:ascii="Garamond" w:cs="Garamond" w:eastAsia="Garamond" w:hAnsi="Garamond"/>
          <w:b/>
          <w:bCs/>
          <w:color w:val="173F35"/>
          <w:sz w:val="26"/>
          <w:szCs w:val="26"/>
        </w:rPr>
        <w:t xml:space="preserve">3.4  Frequency &amp; Quality Standard</w:t>
      </w:r>
    </w:p>
    <w:p>
      <w:pPr>
        <w:spacing w:after="160" w:before="0" w:line="300"/>
        <w:jc w:val="left"/>
      </w:pPr>
      <w:r>
        <w:rPr>
          <w:rFonts w:ascii="Lato" w:cs="Lato" w:eastAsia="Lato" w:hAnsi="Lato"/>
          <w:color w:val="1A1A1A"/>
          <w:sz w:val="22"/>
          <w:szCs w:val="22"/>
        </w:rPr>
        <w:t xml:space="preserve">Specify the cadence (e.g., weekly turf service April–October, biweekly November–March) and the observable quality standard (e.g., turf height kept between 2.5" and 3.5"; no visible weeds in beds at month-end). The contract will reference these standards directly.</w:t>
      </w:r>
    </w:p>
    <w:p>
      <w:pPr>
        <w:pStyle w:val="Heading3"/>
        <w:spacing w:after="160" w:before="280"/>
      </w:pPr>
      <w:r>
        <w:rPr>
          <w:rFonts w:ascii="Garamond" w:cs="Garamond" w:eastAsia="Garamond" w:hAnsi="Garamond"/>
          <w:b/>
          <w:bCs/>
          <w:color w:val="173F35"/>
          <w:sz w:val="26"/>
          <w:szCs w:val="26"/>
        </w:rPr>
        <w:t xml:space="preserve">3.5  Reporting &amp; Communication</w:t>
      </w:r>
    </w:p>
    <w:p>
      <w:pPr>
        <w:pStyle w:val="ListParagraph"/>
        <w:numPr>
          <w:ilvl w:val="0"/>
          <w:numId w:val="2"/>
        </w:numPr>
        <w:spacing w:after="60" w:before="40" w:line="290"/>
      </w:pPr>
      <w:r>
        <w:rPr>
          <w:rFonts w:ascii="Lato" w:cs="Lato" w:eastAsia="Lato" w:hAnsi="Lato"/>
          <w:color w:val="1A1A1A"/>
          <w:sz w:val="22"/>
          <w:szCs w:val="22"/>
        </w:rPr>
        <w:t xml:space="preserve">Single named Account Manager assigned to the Association for the duration of the contract.</w:t>
      </w:r>
    </w:p>
    <w:p>
      <w:pPr>
        <w:pStyle w:val="ListParagraph"/>
        <w:numPr>
          <w:ilvl w:val="0"/>
          <w:numId w:val="2"/>
        </w:numPr>
        <w:spacing w:after="60" w:before="40" w:line="290"/>
      </w:pPr>
      <w:r>
        <w:rPr>
          <w:rFonts w:ascii="Lato" w:cs="Lato" w:eastAsia="Lato" w:hAnsi="Lato"/>
          <w:color w:val="1A1A1A"/>
          <w:sz w:val="22"/>
          <w:szCs w:val="22"/>
        </w:rPr>
        <w:t xml:space="preserve">Monthly written report covering work performed, observations, and recommendations.</w:t>
      </w:r>
    </w:p>
    <w:p>
      <w:pPr>
        <w:pStyle w:val="ListParagraph"/>
        <w:numPr>
          <w:ilvl w:val="0"/>
          <w:numId w:val="2"/>
        </w:numPr>
        <w:spacing w:after="60" w:before="40" w:line="290"/>
      </w:pPr>
      <w:r>
        <w:rPr>
          <w:rFonts w:ascii="Lato" w:cs="Lato" w:eastAsia="Lato" w:hAnsi="Lato"/>
          <w:color w:val="1A1A1A"/>
          <w:sz w:val="22"/>
          <w:szCs w:val="22"/>
        </w:rPr>
        <w:t xml:space="preserve">Quarterly walk-through with Board representative and / or Manager.</w:t>
      </w:r>
    </w:p>
    <w:p>
      <w:pPr>
        <w:pStyle w:val="ListParagraph"/>
        <w:numPr>
          <w:ilvl w:val="0"/>
          <w:numId w:val="2"/>
        </w:numPr>
        <w:spacing w:after="60" w:before="40" w:line="290"/>
      </w:pPr>
      <w:r>
        <w:rPr>
          <w:rFonts w:ascii="Lato" w:cs="Lato" w:eastAsia="Lato" w:hAnsi="Lato"/>
          <w:color w:val="1A1A1A"/>
          <w:sz w:val="22"/>
          <w:szCs w:val="22"/>
        </w:rPr>
        <w:t xml:space="preserve">48-hour acknowledgment of any owner or Manager service request submitted in writing.</w:t>
      </w:r>
    </w:p>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Instructions to Proposers</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4.1  Submission Method</w:t>
      </w:r>
    </w:p>
    <w:p>
      <w:pPr>
        <w:spacing w:after="160" w:before="0" w:line="300"/>
        <w:jc w:val="left"/>
      </w:pPr>
      <w:r>
        <w:rPr>
          <w:rFonts w:ascii="Lato" w:cs="Lato" w:eastAsia="Lato" w:hAnsi="Lato"/>
          <w:color w:val="1A1A1A"/>
          <w:sz w:val="22"/>
          <w:szCs w:val="22"/>
        </w:rPr>
        <w:t xml:space="preserve">Sealed proposals must be submitted via [email to (address) with the subject line “[RFP Reference #] — [Vendor Name]”] OR [delivered in a sealed envelope to (address)] no later than the Proposal Due Date and Time identified in Section 2. Late, unsigned, or incomplete submissions will not be considered.</w:t>
      </w:r>
    </w:p>
    <w:p>
      <w:pPr>
        <w:pStyle w:val="Heading3"/>
        <w:spacing w:after="160" w:before="280"/>
      </w:pPr>
      <w:r>
        <w:rPr>
          <w:rFonts w:ascii="Garamond" w:cs="Garamond" w:eastAsia="Garamond" w:hAnsi="Garamond"/>
          <w:b/>
          <w:bCs/>
          <w:color w:val="173F35"/>
          <w:sz w:val="26"/>
          <w:szCs w:val="26"/>
        </w:rPr>
        <w:t xml:space="preserve">4.2  Question &amp; Answer Period</w:t>
      </w:r>
    </w:p>
    <w:p>
      <w:pPr>
        <w:spacing w:after="160" w:before="0" w:line="300"/>
        <w:jc w:val="left"/>
      </w:pPr>
      <w:r>
        <w:rPr>
          <w:rFonts w:ascii="Lato" w:cs="Lato" w:eastAsia="Lato" w:hAnsi="Lato"/>
          <w:color w:val="1A1A1A"/>
          <w:sz w:val="22"/>
          <w:szCs w:val="22"/>
        </w:rPr>
        <w:t xml:space="preserve">All questions must be submitted in writing to the Primary Point of Contact identified in Section 1 by the deadline shown in Section 2. Phone questions will not be answered. Responses will be distributed in writing to all known bidders by the date shown.</w:t>
      </w:r>
    </w:p>
    <w:p>
      <w:pPr>
        <w:pStyle w:val="Heading3"/>
        <w:spacing w:after="160" w:before="280"/>
      </w:pPr>
      <w:r>
        <w:rPr>
          <w:rFonts w:ascii="Garamond" w:cs="Garamond" w:eastAsia="Garamond" w:hAnsi="Garamond"/>
          <w:b/>
          <w:bCs/>
          <w:color w:val="173F35"/>
          <w:sz w:val="26"/>
          <w:szCs w:val="26"/>
        </w:rPr>
        <w:t xml:space="preserve">4.3  Pre-Proposal Site Visit</w:t>
      </w:r>
    </w:p>
    <w:p>
      <w:pPr>
        <w:spacing w:after="160" w:before="0" w:line="300"/>
        <w:jc w:val="left"/>
      </w:pPr>
      <w:r>
        <w:rPr>
          <w:rFonts w:ascii="Lato" w:cs="Lato" w:eastAsia="Lato" w:hAnsi="Lato"/>
          <w:color w:val="1A1A1A"/>
          <w:sz w:val="22"/>
          <w:szCs w:val="22"/>
        </w:rPr>
        <w:t xml:space="preserve">[Optional. Strongly recommended for property-specific scopes such as landscape, pool, and pest control.] A site visit will be held on the date and time shown in Section 2. Up to two (2) representatives per bidder may attend. Attendance is [mandatory / strongly encouraged]. Bidders must register attendees by email no later than [Date] so that gate access can be arranged.</w:t>
      </w:r>
    </w:p>
    <w:p>
      <w:pPr>
        <w:pStyle w:val="Heading3"/>
        <w:spacing w:after="160" w:before="280"/>
      </w:pPr>
      <w:r>
        <w:rPr>
          <w:rFonts w:ascii="Garamond" w:cs="Garamond" w:eastAsia="Garamond" w:hAnsi="Garamond"/>
          <w:b/>
          <w:bCs/>
          <w:color w:val="173F35"/>
          <w:sz w:val="26"/>
          <w:szCs w:val="26"/>
        </w:rPr>
        <w:t xml:space="preserve">4.4  Required Submittals</w:t>
      </w:r>
    </w:p>
    <w:p>
      <w:pPr>
        <w:pStyle w:val="ListParagraph"/>
        <w:numPr>
          <w:ilvl w:val="0"/>
          <w:numId w:val="3"/>
        </w:numPr>
        <w:spacing w:after="100" w:before="60" w:line="300"/>
      </w:pPr>
      <w:r>
        <w:rPr>
          <w:rFonts w:ascii="Lato" w:cs="Lato" w:eastAsia="Lato" w:hAnsi="Lato"/>
          <w:color w:val="1A1A1A"/>
          <w:sz w:val="22"/>
          <w:szCs w:val="22"/>
        </w:rPr>
        <w:t xml:space="preserve">Cover letter signed by an authorized officer of the proposing company.</w:t>
      </w:r>
    </w:p>
    <w:p>
      <w:pPr>
        <w:pStyle w:val="ListParagraph"/>
        <w:numPr>
          <w:ilvl w:val="0"/>
          <w:numId w:val="3"/>
        </w:numPr>
        <w:spacing w:after="100" w:before="60" w:line="300"/>
      </w:pPr>
      <w:r>
        <w:rPr>
          <w:rFonts w:ascii="Lato" w:cs="Lato" w:eastAsia="Lato" w:hAnsi="Lato"/>
          <w:color w:val="1A1A1A"/>
          <w:sz w:val="22"/>
          <w:szCs w:val="22"/>
        </w:rPr>
        <w:t xml:space="preserve">Completed Vendor Information Form (Section 7).</w:t>
      </w:r>
    </w:p>
    <w:p>
      <w:pPr>
        <w:pStyle w:val="ListParagraph"/>
        <w:numPr>
          <w:ilvl w:val="0"/>
          <w:numId w:val="3"/>
        </w:numPr>
        <w:spacing w:after="100" w:before="60" w:line="300"/>
      </w:pPr>
      <w:r>
        <w:rPr>
          <w:rFonts w:ascii="Lato" w:cs="Lato" w:eastAsia="Lato" w:hAnsi="Lato"/>
          <w:color w:val="1A1A1A"/>
          <w:sz w:val="22"/>
          <w:szCs w:val="22"/>
        </w:rPr>
        <w:t xml:space="preserve">Three (3) Past Performance References (Section 8) for similar scope, completed within the last five (5) years.</w:t>
      </w:r>
    </w:p>
    <w:p>
      <w:pPr>
        <w:pStyle w:val="ListParagraph"/>
        <w:numPr>
          <w:ilvl w:val="0"/>
          <w:numId w:val="3"/>
        </w:numPr>
        <w:spacing w:after="100" w:before="60" w:line="300"/>
      </w:pPr>
      <w:r>
        <w:rPr>
          <w:rFonts w:ascii="Lato" w:cs="Lato" w:eastAsia="Lato" w:hAnsi="Lato"/>
          <w:color w:val="1A1A1A"/>
          <w:sz w:val="22"/>
          <w:szCs w:val="22"/>
        </w:rPr>
        <w:t xml:space="preserve">Certificate of Insurance evidencing the coverage required in Section 9.</w:t>
      </w:r>
    </w:p>
    <w:p>
      <w:pPr>
        <w:pStyle w:val="ListParagraph"/>
        <w:numPr>
          <w:ilvl w:val="0"/>
          <w:numId w:val="3"/>
        </w:numPr>
        <w:spacing w:after="100" w:before="60" w:line="300"/>
      </w:pPr>
      <w:r>
        <w:rPr>
          <w:rFonts w:ascii="Lato" w:cs="Lato" w:eastAsia="Lato" w:hAnsi="Lato"/>
          <w:color w:val="1A1A1A"/>
          <w:sz w:val="22"/>
          <w:szCs w:val="22"/>
        </w:rPr>
        <w:t xml:space="preserve">Bid Sheet (Section 11) with monthly and annualized pricing, all-inclusive of taxes.</w:t>
      </w:r>
    </w:p>
    <w:p>
      <w:pPr>
        <w:pStyle w:val="ListParagraph"/>
        <w:numPr>
          <w:ilvl w:val="0"/>
          <w:numId w:val="3"/>
        </w:numPr>
        <w:spacing w:after="100" w:before="60" w:line="300"/>
      </w:pPr>
      <w:r>
        <w:rPr>
          <w:rFonts w:ascii="Lato" w:cs="Lato" w:eastAsia="Lato" w:hAnsi="Lato"/>
          <w:color w:val="1A1A1A"/>
          <w:sz w:val="22"/>
          <w:szCs w:val="22"/>
        </w:rPr>
        <w:t xml:space="preserve">Bid Authorization &amp; Affidavit (Section 12) signed by an authorized officer.</w:t>
      </w:r>
    </w:p>
    <w:p>
      <w:pPr>
        <w:pStyle w:val="ListParagraph"/>
        <w:numPr>
          <w:ilvl w:val="0"/>
          <w:numId w:val="3"/>
        </w:numPr>
        <w:spacing w:after="100" w:before="60" w:line="300"/>
      </w:pPr>
      <w:r>
        <w:rPr>
          <w:rFonts w:ascii="Lato" w:cs="Lato" w:eastAsia="Lato" w:hAnsi="Lato"/>
          <w:color w:val="1A1A1A"/>
          <w:sz w:val="22"/>
          <w:szCs w:val="22"/>
        </w:rPr>
        <w:t xml:space="preserve">Management Approach narrative — not more than ten (10) pages — addressing organizational structure, staffing, quality assurance, and communication.</w:t>
      </w:r>
    </w:p>
    <w:p>
      <w:pPr>
        <w:pStyle w:val="Heading3"/>
        <w:spacing w:after="160" w:before="280"/>
      </w:pPr>
      <w:r>
        <w:rPr>
          <w:rFonts w:ascii="Garamond" w:cs="Garamond" w:eastAsia="Garamond" w:hAnsi="Garamond"/>
          <w:b/>
          <w:bCs/>
          <w:color w:val="173F35"/>
          <w:sz w:val="26"/>
          <w:szCs w:val="26"/>
        </w:rPr>
        <w:t xml:space="preserve">4.5  Format &amp; Validity Period</w:t>
      </w:r>
    </w:p>
    <w:p>
      <w:pPr>
        <w:pStyle w:val="ListParagraph"/>
        <w:numPr>
          <w:ilvl w:val="0"/>
          <w:numId w:val="2"/>
        </w:numPr>
        <w:spacing w:after="60" w:before="40" w:line="290"/>
      </w:pPr>
      <w:r>
        <w:rPr>
          <w:rFonts w:ascii="Lato" w:cs="Lato" w:eastAsia="Lato" w:hAnsi="Lato"/>
          <w:color w:val="1A1A1A"/>
          <w:sz w:val="22"/>
          <w:szCs w:val="22"/>
        </w:rPr>
        <w:t xml:space="preserve">8.5" x 11" portrait, 11-pt body type, 1-inch margins.</w:t>
      </w:r>
    </w:p>
    <w:p>
      <w:pPr>
        <w:pStyle w:val="ListParagraph"/>
        <w:numPr>
          <w:ilvl w:val="0"/>
          <w:numId w:val="2"/>
        </w:numPr>
        <w:spacing w:after="60" w:before="40" w:line="290"/>
      </w:pPr>
      <w:r>
        <w:rPr>
          <w:rFonts w:ascii="Lato" w:cs="Lato" w:eastAsia="Lato" w:hAnsi="Lato"/>
          <w:color w:val="1A1A1A"/>
          <w:sz w:val="22"/>
          <w:szCs w:val="22"/>
        </w:rPr>
        <w:t xml:space="preserve">Pricing valid for sixty (60) calendar days following the Proposal Due Date.</w:t>
      </w:r>
    </w:p>
    <w:p>
      <w:pPr>
        <w:pStyle w:val="ListParagraph"/>
        <w:numPr>
          <w:ilvl w:val="0"/>
          <w:numId w:val="2"/>
        </w:numPr>
        <w:spacing w:after="60" w:before="40" w:line="290"/>
      </w:pPr>
      <w:r>
        <w:rPr>
          <w:rFonts w:ascii="Lato" w:cs="Lato" w:eastAsia="Lato" w:hAnsi="Lato"/>
          <w:color w:val="1A1A1A"/>
          <w:sz w:val="22"/>
          <w:szCs w:val="22"/>
        </w:rPr>
        <w:t xml:space="preserve">Proposals become the property of the Association and will not be returned.</w:t>
      </w:r>
    </w:p>
    <w:p>
      <w:pPr>
        <w:pStyle w:val="ListParagraph"/>
        <w:numPr>
          <w:ilvl w:val="0"/>
          <w:numId w:val="2"/>
        </w:numPr>
        <w:spacing w:after="60" w:before="40" w:line="290"/>
      </w:pPr>
      <w:r>
        <w:rPr>
          <w:rFonts w:ascii="Lato" w:cs="Lato" w:eastAsia="Lato" w:hAnsi="Lato"/>
          <w:color w:val="1A1A1A"/>
          <w:sz w:val="22"/>
          <w:szCs w:val="22"/>
        </w:rPr>
        <w:t xml:space="preserve">Costs incurred in preparing and submitting a proposal will not be reimbursed.</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Evaluation of Proposals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Proposals will be evaluated by the Board (or its designated committee) using the criteria below. Each criterion is rated as Acceptable or Unacceptable; any proposal rated Unacceptable on a threshold criterion will not be considered further. Final award will be made to the lowest-priced, technically acceptable bidder, subject to successful contract negotiation.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CRITERION</w:t>
            </w:r>
          </w:p>
        </w:tc>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STANDARD FOR ACCEPTABLE RATING</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Company Experience</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Five (5) or more years in the relevant service category, with sufficient personnel and equipment to service this contract.</w:t>
            </w:r>
          </w:p>
        </w:tc>
      </w:tr>
      <w:tr>
        <w:tc>
          <w:tcPr>
            <w:tcW w:type="dxa" w:w="312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Past Performance</w:t>
            </w:r>
          </w:p>
        </w:tc>
        <w:tc>
          <w:tcPr>
            <w:tcW w:type="dxa" w:w="624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At least three (3) similar-scope contracts successfully completed in the last five (5) years, with reference contacts who confirm satisfactory performance.</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Insurance &amp; Licensing</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Evidence of current insurance meeting the limits in Section 9 and any state or local licensing required for the service category.</w:t>
            </w:r>
          </w:p>
        </w:tc>
      </w:tr>
      <w:tr>
        <w:tc>
          <w:tcPr>
            <w:tcW w:type="dxa" w:w="312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Quality Approach</w:t>
            </w:r>
          </w:p>
        </w:tc>
        <w:tc>
          <w:tcPr>
            <w:tcW w:type="dxa" w:w="6240"/>
            <w:tcBorders>
              <w:top w:val="single" w:color="BFBFBF" w:sz="4"/>
              <w:left w:val="single" w:color="BFBFBF" w:sz="4"/>
              <w:bottom w:val="single" w:color="BFBFBF" w:sz="4"/>
              <w:right w:val="single" w:color="BFBFBF"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 management plan that addresses organizational structure, staffing levels, quality assurance, and a defined complaint-resolution process.</w:t>
            </w:r>
          </w:p>
        </w:tc>
      </w:tr>
      <w:tr>
        <w:tc>
          <w:tcPr>
            <w:tcW w:type="dxa" w:w="312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Pricing</w:t>
            </w:r>
          </w:p>
        </w:tc>
        <w:tc>
          <w:tcPr>
            <w:tcW w:type="dxa" w:w="6240"/>
            <w:tcBorders>
              <w:top w:val="single" w:color="BFBFBF" w:sz="4"/>
              <w:left w:val="single" w:color="BFBFBF" w:sz="4"/>
              <w:bottom w:val="single" w:color="BFBFBF" w:sz="4"/>
              <w:right w:val="single" w:color="BFBFBF" w:sz="4"/>
            </w:tcBorders>
            <w:shd w:fill="F7F1DF" w:color="auto" w:val="clear"/>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All-inclusive monthly and annualized price, valid 60 days, completed in the format of the Bid Sheet (Section 11).</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USE THE COMPARATIVE PROPOSAL EVALUATION WORKSHEET</w:t>
            </w:r>
          </w:p>
          <w:p>
            <w:pPr>
              <w:spacing w:after="0" w:before="0" w:line="300"/>
              <w:jc w:val="left"/>
            </w:pPr>
            <w:r>
              <w:rPr>
                <w:rFonts w:ascii="Lato" w:cs="Lato" w:eastAsia="Lato" w:hAnsi="Lato"/>
                <w:color w:val="1A1A1A"/>
                <w:sz w:val="22"/>
                <w:szCs w:val="22"/>
              </w:rPr>
              <w:t xml:space="preserve">The CIC-SC Comparative Proposal Evaluation Worksheet operationalizes this section by scoring each proposal on a uniform rubric. It is the recommended companion to this RFP and provides a defensible audit trail for the Board’s award decision.</w:t>
            </w:r>
          </w:p>
        </w:tc>
      </w:tr>
    </w:tbl>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Conflicts of Interest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Each proposer shall disclose, in its cover letter, any current or prior relationship between the proposer (or any owner, officer, employee, or relative thereof within the third degree of consanguinity or affinity) and any current Director, Officer, Committee Member, or Association Manager. Disclosure is not automatic disqualification, but may trigger additional procedures under the Association’s Code of Ethics, governing documents, and applicable state law.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NOTE</w:t>
            </w:r>
          </w:p>
          <w:p>
            <w:pPr>
              <w:spacing w:after="0" w:before="0" w:line="300"/>
              <w:jc w:val="left"/>
            </w:pPr>
            <w:r>
              <w:rPr>
                <w:rFonts w:ascii="Lato" w:cs="Lato" w:eastAsia="Lato" w:hAnsi="Lato"/>
                <w:color w:val="1A1A1A"/>
                <w:sz w:val="22"/>
                <w:szCs w:val="22"/>
              </w:rPr>
              <w:t xml:space="preserve">Florida law creates a rebuttable presumption of a conflict of interest in many vendor scenarios involving a director or relative (Fla. Stat. §§ 718.3027, 720.3033). Proposers responding to a Florida association should be prepared to disclose any such relationship, and the Association’s Board must follow the agenda, supermajority approval, and member-cancellation procedures specified by statute. Verify the current effective text with the Association’s counsel.</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TEXAS NOTE</w:t>
            </w:r>
          </w:p>
          <w:p>
            <w:pPr>
              <w:spacing w:after="0" w:before="0" w:line="300"/>
              <w:jc w:val="left"/>
            </w:pPr>
            <w:r>
              <w:rPr>
                <w:rFonts w:ascii="Lato" w:cs="Lato" w:eastAsia="Lato" w:hAnsi="Lato"/>
                <w:color w:val="1A1A1A"/>
                <w:sz w:val="22"/>
                <w:szCs w:val="22"/>
              </w:rPr>
              <w:t xml:space="preserve">Texas community associations organized under the Business Organizations Code, Chapter 22, are subject to § 22.230 (contracts and transactions involving interested directors). Proposers should be prepared to disclose any current or prior relationship with the Association’s Board, Officers, Committee Members, or Manager.</w:t>
            </w:r>
          </w:p>
        </w:tc>
      </w:tr>
    </w:tbl>
    <w:p>
      <w:r>
        <w:br w:type="page"/>
      </w:r>
    </w:p>
    <w:p>
      <w:pPr>
        <w:spacing w:after="60" w:before="0"/>
      </w:pPr>
      <w:r>
        <w:rPr>
          <w:rFonts w:ascii="Lato" w:cs="Lato" w:eastAsia="Lato" w:hAnsi="Lato"/>
          <w:b/>
          <w:bCs/>
          <w:color w:val="C9A24A"/>
          <w:spacing w:val="100"/>
          <w:sz w:val="16"/>
          <w:szCs w:val="16"/>
        </w:rPr>
        <w:t xml:space="preserve">SECTION 7  /  FORM 1</w:t>
      </w:r>
    </w:p>
    <w:p>
      <w:pPr>
        <w:pStyle w:val="Heading1"/>
        <w:spacing w:after="160" w:before="280"/>
      </w:pPr>
      <w:r>
        <w:rPr>
          <w:rFonts w:ascii="Garamond" w:cs="Garamond" w:eastAsia="Garamond" w:hAnsi="Garamond"/>
          <w:b/>
          <w:bCs/>
          <w:color w:val="173F35"/>
          <w:sz w:val="40"/>
          <w:szCs w:val="40"/>
        </w:rPr>
        <w:t xml:space="preserve">Vendor Information Form</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Legal Company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DBA / Trade Name (if any)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Main Office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Authorized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State Licensing # (if applicable)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 Founded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in [Service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No. of Permanent Employees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Last calendar year revenue in this service category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Special Certifications Held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EIN / Federal Tax ID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W-9 on file with the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8  /  FORM 2</w:t>
      </w:r>
    </w:p>
    <w:p>
      <w:pPr>
        <w:pStyle w:val="Heading1"/>
        <w:spacing w:after="160" w:before="280"/>
      </w:pPr>
      <w:r>
        <w:rPr>
          <w:rFonts w:ascii="Garamond" w:cs="Garamond" w:eastAsia="Garamond" w:hAnsi="Garamond"/>
          <w:b/>
          <w:bCs/>
          <w:color w:val="173F35"/>
          <w:sz w:val="40"/>
          <w:szCs w:val="40"/>
        </w:rPr>
        <w:t xml:space="preserve">Past Performance References (3)</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Provide three (3) references for similar-scope contracts completed within the last five (5) years. Reference contacts must consent to be contacted by the Association.</w:t>
      </w:r>
    </w:p>
    <w:p>
      <w:pPr>
        <w:spacing w:after="60" w:before="0"/>
      </w:pPr>
      <w:r>
        <w:rPr>
          <w:rFonts w:ascii="Lato" w:cs="Lato" w:eastAsia="Lato" w:hAnsi="Lato"/>
          <w:b/>
          <w:bCs/>
          <w:color w:val="C9A24A"/>
          <w:spacing w:val="100"/>
          <w:sz w:val="16"/>
          <w:szCs w:val="16"/>
        </w:rPr>
        <w:t xml:space="preserve">REFERENCE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pPr>
        <w:spacing w:after="60" w:before="0"/>
      </w:pPr>
      <w:r>
        <w:rPr>
          <w:rFonts w:ascii="Lato" w:cs="Lato" w:eastAsia="Lato" w:hAnsi="Lato"/>
          <w:b/>
          <w:bCs/>
          <w:color w:val="C9A24A"/>
          <w:spacing w:val="100"/>
          <w:sz w:val="16"/>
          <w:szCs w:val="16"/>
        </w:rPr>
        <w:t xml:space="preserve">REFERENCE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Project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Reference Contact (Name / Title)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Phone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Email</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 &amp; Scope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Monthly Contract Value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Years Served (From –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May the Association contact this reference?  (Y / 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____________________________________________________________</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9</w:t>
      </w:r>
    </w:p>
    <w:p>
      <w:pPr>
        <w:pStyle w:val="Heading1"/>
        <w:spacing w:after="160" w:before="280"/>
      </w:pPr>
      <w:r>
        <w:rPr>
          <w:rFonts w:ascii="Garamond" w:cs="Garamond" w:eastAsia="Garamond" w:hAnsi="Garamond"/>
          <w:b/>
          <w:bCs/>
          <w:color w:val="173F35"/>
          <w:sz w:val="40"/>
          <w:szCs w:val="40"/>
        </w:rPr>
        <w:t xml:space="preserve">Insurance Requirements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Proposer shall maintain, at its sole expense, the following minimum insurance coverages throughout the term of any resulting contract. Certificates of Insurance evidencing each coverage shall be delivered to the Association before contract execution and at each renewal. The Association and its Board, Manager, and Agents shall be named as additional insureds where indicated.</w:t>
      </w:r>
    </w:p>
    <w:p>
      <w:pPr>
        <w:pStyle w:val="ListParagraph"/>
        <w:numPr>
          <w:ilvl w:val="0"/>
          <w:numId w:val="2"/>
        </w:numPr>
        <w:spacing w:after="60" w:before="40" w:line="290"/>
      </w:pPr>
      <w:r>
        <w:rPr>
          <w:rFonts w:ascii="Lato" w:cs="Lato" w:eastAsia="Lato" w:hAnsi="Lato"/>
          <w:b/>
          <w:bCs/>
          <w:color w:val="173F35"/>
          <w:sz w:val="22"/>
          <w:szCs w:val="22"/>
        </w:rPr>
        <w:t xml:space="preserve">Commercial General Liability — </w:t>
      </w:r>
      <w:r>
        <w:rPr>
          <w:rFonts w:ascii="Lato" w:cs="Lato" w:eastAsia="Lato" w:hAnsi="Lato"/>
          <w:color w:val="1A1A1A"/>
          <w:sz w:val="22"/>
          <w:szCs w:val="22"/>
        </w:rPr>
        <w:t xml:space="preserve">minimum $1,000,000 per occurrence and $2,000,000 aggregate, including products / completed operations and contractual liability. Association named as additional insured.</w:t>
      </w:r>
    </w:p>
    <w:p>
      <w:pPr>
        <w:pStyle w:val="ListParagraph"/>
        <w:numPr>
          <w:ilvl w:val="0"/>
          <w:numId w:val="2"/>
        </w:numPr>
        <w:spacing w:after="60" w:before="40" w:line="290"/>
      </w:pPr>
      <w:r>
        <w:rPr>
          <w:rFonts w:ascii="Lato" w:cs="Lato" w:eastAsia="Lato" w:hAnsi="Lato"/>
          <w:b/>
          <w:bCs/>
          <w:color w:val="173F35"/>
          <w:sz w:val="22"/>
          <w:szCs w:val="22"/>
        </w:rPr>
        <w:t xml:space="preserve">Commercial Auto Liability — </w:t>
      </w:r>
      <w:r>
        <w:rPr>
          <w:rFonts w:ascii="Lato" w:cs="Lato" w:eastAsia="Lato" w:hAnsi="Lato"/>
          <w:color w:val="1A1A1A"/>
          <w:sz w:val="22"/>
          <w:szCs w:val="22"/>
        </w:rPr>
        <w:t xml:space="preserve">minimum $1,000,000 combined single limit, including owned, non-owned, and hired vehicles.</w:t>
      </w:r>
    </w:p>
    <w:p>
      <w:pPr>
        <w:pStyle w:val="ListParagraph"/>
        <w:numPr>
          <w:ilvl w:val="0"/>
          <w:numId w:val="2"/>
        </w:numPr>
        <w:spacing w:after="60" w:before="40" w:line="290"/>
      </w:pPr>
      <w:r>
        <w:rPr>
          <w:rFonts w:ascii="Lato" w:cs="Lato" w:eastAsia="Lato" w:hAnsi="Lato"/>
          <w:b/>
          <w:bCs/>
          <w:color w:val="173F35"/>
          <w:sz w:val="22"/>
          <w:szCs w:val="22"/>
        </w:rPr>
        <w:t xml:space="preserve">Workers’ Compensation &amp; Employer’s Liability — </w:t>
      </w:r>
      <w:r>
        <w:rPr>
          <w:rFonts w:ascii="Lato" w:cs="Lato" w:eastAsia="Lato" w:hAnsi="Lato"/>
          <w:color w:val="1A1A1A"/>
          <w:sz w:val="22"/>
          <w:szCs w:val="22"/>
        </w:rPr>
        <w:t xml:space="preserve">Workers’ Comp at the statutory limit applicable in the state of operation; Employer’s Liability of not less than $1,000,000 each accident / disease / disease policy limit. </w:t>
      </w:r>
      <w:r>
        <w:rPr>
          <w:rFonts w:ascii="Lato" w:cs="Lato" w:eastAsia="Lato" w:hAnsi="Lato"/>
          <w:i/>
          <w:iCs/>
          <w:color w:val="5C5C5C"/>
          <w:sz w:val="22"/>
          <w:szCs w:val="22"/>
        </w:rPr>
        <w:t xml:space="preserve">(In Texas, sole proprietors may demonstrate compliance through alternative coverage; confirm with broker.)</w:t>
      </w:r>
    </w:p>
    <w:p>
      <w:pPr>
        <w:pStyle w:val="ListParagraph"/>
        <w:numPr>
          <w:ilvl w:val="0"/>
          <w:numId w:val="2"/>
        </w:numPr>
        <w:spacing w:after="60" w:before="40" w:line="290"/>
      </w:pPr>
      <w:r>
        <w:rPr>
          <w:rFonts w:ascii="Lato" w:cs="Lato" w:eastAsia="Lato" w:hAnsi="Lato"/>
          <w:b/>
          <w:bCs/>
          <w:color w:val="173F35"/>
          <w:sz w:val="22"/>
          <w:szCs w:val="22"/>
        </w:rPr>
        <w:t xml:space="preserve">Pollution / Pesticide Liability — </w:t>
      </w:r>
      <w:r>
        <w:rPr>
          <w:rFonts w:ascii="Lato" w:cs="Lato" w:eastAsia="Lato" w:hAnsi="Lato"/>
          <w:color w:val="1A1A1A"/>
          <w:sz w:val="22"/>
          <w:szCs w:val="22"/>
        </w:rPr>
        <w:t xml:space="preserve">if the scope includes chemical or pesticide application, minimum $1,000,000 per occurrence pesticide / herbicide / pollution coverage.</w:t>
      </w:r>
    </w:p>
    <w:p>
      <w:pPr>
        <w:pStyle w:val="ListParagraph"/>
        <w:numPr>
          <w:ilvl w:val="0"/>
          <w:numId w:val="2"/>
        </w:numPr>
        <w:spacing w:after="60" w:before="40" w:line="290"/>
      </w:pPr>
      <w:r>
        <w:rPr>
          <w:rFonts w:ascii="Lato" w:cs="Lato" w:eastAsia="Lato" w:hAnsi="Lato"/>
          <w:b/>
          <w:bCs/>
          <w:color w:val="173F35"/>
          <w:sz w:val="22"/>
          <w:szCs w:val="22"/>
        </w:rPr>
        <w:t xml:space="preserve">Umbrella / Excess Liability — </w:t>
      </w:r>
      <w:r>
        <w:rPr>
          <w:rFonts w:ascii="Lato" w:cs="Lato" w:eastAsia="Lato" w:hAnsi="Lato"/>
          <w:color w:val="1A1A1A"/>
          <w:sz w:val="22"/>
          <w:szCs w:val="22"/>
        </w:rPr>
        <w:t xml:space="preserve">[optional, recommended for larger associations] minimum $2,000,000.</w:t>
      </w:r>
    </w:p>
    <w:p>
      <w:pPr>
        <w:pStyle w:val="ListParagraph"/>
        <w:numPr>
          <w:ilvl w:val="0"/>
          <w:numId w:val="2"/>
        </w:numPr>
        <w:spacing w:after="60" w:before="40" w:line="290"/>
      </w:pPr>
      <w:r>
        <w:rPr>
          <w:rFonts w:ascii="Lato" w:cs="Lato" w:eastAsia="Lato" w:hAnsi="Lato"/>
          <w:b/>
          <w:bCs/>
          <w:color w:val="173F35"/>
          <w:sz w:val="22"/>
          <w:szCs w:val="22"/>
        </w:rPr>
        <w:t xml:space="preserve">Notice of Cancellation — </w:t>
      </w:r>
      <w:r>
        <w:rPr>
          <w:rFonts w:ascii="Lato" w:cs="Lato" w:eastAsia="Lato" w:hAnsi="Lato"/>
          <w:color w:val="1A1A1A"/>
          <w:sz w:val="22"/>
          <w:szCs w:val="22"/>
        </w:rPr>
        <w:t xml:space="preserve">30 days’ written notice to the Association in the event of cancellation or material change.</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CONFIRM WITH YOUR BROKER</w:t>
            </w:r>
          </w:p>
          <w:p>
            <w:pPr>
              <w:spacing w:after="0" w:before="0" w:line="300"/>
              <w:jc w:val="left"/>
            </w:pPr>
            <w:r>
              <w:rPr>
                <w:rFonts w:ascii="Lato" w:cs="Lato" w:eastAsia="Lato" w:hAnsi="Lato"/>
                <w:color w:val="1A1A1A"/>
                <w:sz w:val="22"/>
                <w:szCs w:val="22"/>
              </w:rPr>
              <w:t xml:space="preserve">Required limits and coverage forms vary by service category, state, and the Association’s underlying property policy. The Association’s insurance broker should review Section 9 against the Association’s master policy before this RFP is issued. Florida condominium associations should pay particular attention to coordination with statutory hurricane and flood exposures (Fla. Stat. § 718.111(11)).</w:t>
            </w:r>
          </w:p>
        </w:tc>
      </w:tr>
    </w:tbl>
    <w:p>
      <w:r>
        <w:br w:type="page"/>
      </w:r>
    </w:p>
    <w:p>
      <w:pPr>
        <w:spacing w:after="60" w:before="0"/>
      </w:pPr>
      <w:r>
        <w:rPr>
          <w:rFonts w:ascii="Lato" w:cs="Lato" w:eastAsia="Lato" w:hAnsi="Lato"/>
          <w:b/>
          <w:bCs/>
          <w:color w:val="C9A24A"/>
          <w:spacing w:val="100"/>
          <w:sz w:val="16"/>
          <w:szCs w:val="16"/>
        </w:rPr>
        <w:t xml:space="preserve">SECTION 10</w:t>
      </w:r>
    </w:p>
    <w:p>
      <w:pPr>
        <w:pStyle w:val="Heading1"/>
        <w:spacing w:after="160" w:before="280"/>
      </w:pPr>
      <w:r>
        <w:rPr>
          <w:rFonts w:ascii="Garamond" w:cs="Garamond" w:eastAsia="Garamond" w:hAnsi="Garamond"/>
          <w:b/>
          <w:bCs/>
          <w:color w:val="173F35"/>
          <w:sz w:val="40"/>
          <w:szCs w:val="40"/>
        </w:rPr>
        <w:t xml:space="preserve">Contract Terms (Summary)</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The proposer awarded this RFP shall enter into a written services agreement with the Association on terms substantially as follows. The Association reserves the right to negotiate specific terms with the awardee prior to execution.</w:t>
      </w:r>
    </w:p>
    <w:p>
      <w:pPr>
        <w:pStyle w:val="ListParagraph"/>
        <w:numPr>
          <w:ilvl w:val="0"/>
          <w:numId w:val="2"/>
        </w:numPr>
        <w:spacing w:after="60" w:before="40" w:line="290"/>
      </w:pPr>
      <w:r>
        <w:rPr>
          <w:rFonts w:ascii="Lato" w:cs="Lato" w:eastAsia="Lato" w:hAnsi="Lato"/>
          <w:b/>
          <w:bCs/>
          <w:color w:val="173F35"/>
          <w:sz w:val="22"/>
          <w:szCs w:val="22"/>
        </w:rPr>
        <w:t xml:space="preserve">Term — </w:t>
      </w:r>
      <w:r>
        <w:rPr>
          <w:rFonts w:ascii="Lato" w:cs="Lato" w:eastAsia="Lato" w:hAnsi="Lato"/>
          <w:color w:val="1A1A1A"/>
          <w:sz w:val="22"/>
          <w:szCs w:val="22"/>
        </w:rPr>
        <w:t xml:space="preserve">[12 / 24 / 36] months, with annual price review at each anniversary.</w:t>
      </w:r>
    </w:p>
    <w:p>
      <w:pPr>
        <w:pStyle w:val="ListParagraph"/>
        <w:numPr>
          <w:ilvl w:val="0"/>
          <w:numId w:val="2"/>
        </w:numPr>
        <w:spacing w:after="60" w:before="40" w:line="290"/>
      </w:pPr>
      <w:r>
        <w:rPr>
          <w:rFonts w:ascii="Lato" w:cs="Lato" w:eastAsia="Lato" w:hAnsi="Lato"/>
          <w:b/>
          <w:bCs/>
          <w:color w:val="173F35"/>
          <w:sz w:val="22"/>
          <w:szCs w:val="22"/>
        </w:rPr>
        <w:t xml:space="preserve">Pricing — </w:t>
      </w:r>
      <w:r>
        <w:rPr>
          <w:rFonts w:ascii="Lato" w:cs="Lato" w:eastAsia="Lato" w:hAnsi="Lato"/>
          <w:color w:val="1A1A1A"/>
          <w:sz w:val="22"/>
          <w:szCs w:val="22"/>
        </w:rPr>
        <w:t xml:space="preserve">monthly, fixed-fee for the recurring scope; as-needed work billed at agreed labor and material rates upon written approval.</w:t>
      </w:r>
    </w:p>
    <w:p>
      <w:pPr>
        <w:pStyle w:val="ListParagraph"/>
        <w:numPr>
          <w:ilvl w:val="0"/>
          <w:numId w:val="2"/>
        </w:numPr>
        <w:spacing w:after="60" w:before="40" w:line="290"/>
      </w:pPr>
      <w:r>
        <w:rPr>
          <w:rFonts w:ascii="Lato" w:cs="Lato" w:eastAsia="Lato" w:hAnsi="Lato"/>
          <w:b/>
          <w:bCs/>
          <w:color w:val="173F35"/>
          <w:sz w:val="22"/>
          <w:szCs w:val="22"/>
        </w:rPr>
        <w:t xml:space="preserve">Termination for Convenience — </w:t>
      </w:r>
      <w:r>
        <w:rPr>
          <w:rFonts w:ascii="Lato" w:cs="Lato" w:eastAsia="Lato" w:hAnsi="Lato"/>
          <w:color w:val="1A1A1A"/>
          <w:sz w:val="22"/>
          <w:szCs w:val="22"/>
        </w:rPr>
        <w:t xml:space="preserve">either party may terminate on thirty (30) days’ written notice without penalty.</w:t>
      </w:r>
    </w:p>
    <w:p>
      <w:pPr>
        <w:pStyle w:val="ListParagraph"/>
        <w:numPr>
          <w:ilvl w:val="0"/>
          <w:numId w:val="2"/>
        </w:numPr>
        <w:spacing w:after="60" w:before="40" w:line="290"/>
      </w:pPr>
      <w:r>
        <w:rPr>
          <w:rFonts w:ascii="Lato" w:cs="Lato" w:eastAsia="Lato" w:hAnsi="Lato"/>
          <w:b/>
          <w:bCs/>
          <w:color w:val="173F35"/>
          <w:sz w:val="22"/>
          <w:szCs w:val="22"/>
        </w:rPr>
        <w:t xml:space="preserve">Termination for Cause — </w:t>
      </w:r>
      <w:r>
        <w:rPr>
          <w:rFonts w:ascii="Lato" w:cs="Lato" w:eastAsia="Lato" w:hAnsi="Lato"/>
          <w:color w:val="1A1A1A"/>
          <w:sz w:val="22"/>
          <w:szCs w:val="22"/>
        </w:rPr>
        <w:t xml:space="preserve">Association may terminate immediately on written notice for material breach not cured within ten (10) days.</w:t>
      </w:r>
    </w:p>
    <w:p>
      <w:pPr>
        <w:pStyle w:val="ListParagraph"/>
        <w:numPr>
          <w:ilvl w:val="0"/>
          <w:numId w:val="2"/>
        </w:numPr>
        <w:spacing w:after="60" w:before="40" w:line="290"/>
      </w:pPr>
      <w:r>
        <w:rPr>
          <w:rFonts w:ascii="Lato" w:cs="Lato" w:eastAsia="Lato" w:hAnsi="Lato"/>
          <w:b/>
          <w:bCs/>
          <w:color w:val="173F35"/>
          <w:sz w:val="22"/>
          <w:szCs w:val="22"/>
        </w:rPr>
        <w:t xml:space="preserve">Independent Contractor — </w:t>
      </w:r>
      <w:r>
        <w:rPr>
          <w:rFonts w:ascii="Lato" w:cs="Lato" w:eastAsia="Lato" w:hAnsi="Lato"/>
          <w:color w:val="1A1A1A"/>
          <w:sz w:val="22"/>
          <w:szCs w:val="22"/>
        </w:rPr>
        <w:t xml:space="preserve">Vendor is an independent contractor; no employer-employee relationship is created.</w:t>
      </w:r>
    </w:p>
    <w:p>
      <w:pPr>
        <w:pStyle w:val="ListParagraph"/>
        <w:numPr>
          <w:ilvl w:val="0"/>
          <w:numId w:val="2"/>
        </w:numPr>
        <w:spacing w:after="60" w:before="40" w:line="290"/>
      </w:pPr>
      <w:r>
        <w:rPr>
          <w:rFonts w:ascii="Lato" w:cs="Lato" w:eastAsia="Lato" w:hAnsi="Lato"/>
          <w:b/>
          <w:bCs/>
          <w:color w:val="173F35"/>
          <w:sz w:val="22"/>
          <w:szCs w:val="22"/>
        </w:rPr>
        <w:t xml:space="preserve">Non-Solicitation of Employees — </w:t>
      </w:r>
      <w:r>
        <w:rPr>
          <w:rFonts w:ascii="Lato" w:cs="Lato" w:eastAsia="Lato" w:hAnsi="Lato"/>
          <w:color w:val="1A1A1A"/>
          <w:sz w:val="22"/>
          <w:szCs w:val="22"/>
        </w:rPr>
        <w:t xml:space="preserve">neither party shall solicit the employees of the other during the term and for twelve (12) months thereafter.</w:t>
      </w:r>
    </w:p>
    <w:p>
      <w:pPr>
        <w:pStyle w:val="ListParagraph"/>
        <w:numPr>
          <w:ilvl w:val="0"/>
          <w:numId w:val="2"/>
        </w:numPr>
        <w:spacing w:after="60" w:before="40" w:line="290"/>
      </w:pPr>
      <w:r>
        <w:rPr>
          <w:rFonts w:ascii="Lato" w:cs="Lato" w:eastAsia="Lato" w:hAnsi="Lato"/>
          <w:b/>
          <w:bCs/>
          <w:color w:val="173F35"/>
          <w:sz w:val="22"/>
          <w:szCs w:val="22"/>
        </w:rPr>
        <w:t xml:space="preserve">Indemnification — </w:t>
      </w:r>
      <w:r>
        <w:rPr>
          <w:rFonts w:ascii="Lato" w:cs="Lato" w:eastAsia="Lato" w:hAnsi="Lato"/>
          <w:color w:val="1A1A1A"/>
          <w:sz w:val="22"/>
          <w:szCs w:val="22"/>
        </w:rPr>
        <w:t xml:space="preserve">Vendor shall indemnify and hold harmless the Association, Board, Manager, and Agents from claims arising out of Vendor’s acts or omissions.</w:t>
      </w:r>
    </w:p>
    <w:p>
      <w:pPr>
        <w:pStyle w:val="ListParagraph"/>
        <w:numPr>
          <w:ilvl w:val="0"/>
          <w:numId w:val="2"/>
        </w:numPr>
        <w:spacing w:after="60" w:before="40" w:line="290"/>
      </w:pPr>
      <w:r>
        <w:rPr>
          <w:rFonts w:ascii="Lato" w:cs="Lato" w:eastAsia="Lato" w:hAnsi="Lato"/>
          <w:b/>
          <w:bCs/>
          <w:color w:val="173F35"/>
          <w:sz w:val="22"/>
          <w:szCs w:val="22"/>
        </w:rPr>
        <w:t xml:space="preserve">Governing Law &amp; Venue — </w:t>
      </w:r>
      <w:r>
        <w:rPr>
          <w:rFonts w:ascii="Lato" w:cs="Lato" w:eastAsia="Lato" w:hAnsi="Lato"/>
          <w:color w:val="1A1A1A"/>
          <w:sz w:val="22"/>
          <w:szCs w:val="22"/>
        </w:rPr>
        <w:t xml:space="preserve">Laws of the State of [Texas / Florida]; venue in [County] County.</w:t>
      </w:r>
    </w:p>
    <w:p>
      <w:pPr>
        <w:pStyle w:val="ListParagraph"/>
        <w:numPr>
          <w:ilvl w:val="0"/>
          <w:numId w:val="2"/>
        </w:numPr>
        <w:spacing w:after="60" w:before="40" w:line="290"/>
      </w:pPr>
      <w:r>
        <w:rPr>
          <w:rFonts w:ascii="Lato" w:cs="Lato" w:eastAsia="Lato" w:hAnsi="Lato"/>
          <w:b/>
          <w:bCs/>
          <w:color w:val="173F35"/>
          <w:sz w:val="22"/>
          <w:szCs w:val="22"/>
        </w:rPr>
        <w:t xml:space="preserve">Lien Waivers — </w:t>
      </w:r>
      <w:r>
        <w:rPr>
          <w:rFonts w:ascii="Lato" w:cs="Lato" w:eastAsia="Lato" w:hAnsi="Lato"/>
          <w:color w:val="1A1A1A"/>
          <w:sz w:val="22"/>
          <w:szCs w:val="22"/>
        </w:rPr>
        <w:t xml:space="preserve">Vendor shall furnish unconditional final lien waivers upon final payment for any work giving rise to lien rights under applicable state law.</w:t>
      </w:r>
    </w:p>
    <w:p>
      <w:pPr>
        <w:pStyle w:val="ListParagraph"/>
        <w:numPr>
          <w:ilvl w:val="0"/>
          <w:numId w:val="2"/>
        </w:numPr>
        <w:spacing w:after="60" w:before="40" w:line="290"/>
      </w:pPr>
      <w:r>
        <w:rPr>
          <w:rFonts w:ascii="Lato" w:cs="Lato" w:eastAsia="Lato" w:hAnsi="Lato"/>
          <w:b/>
          <w:bCs/>
          <w:color w:val="173F35"/>
          <w:sz w:val="22"/>
          <w:szCs w:val="22"/>
        </w:rPr>
        <w:t xml:space="preserve">Compliance — </w:t>
      </w:r>
      <w:r>
        <w:rPr>
          <w:rFonts w:ascii="Lato" w:cs="Lato" w:eastAsia="Lato" w:hAnsi="Lato"/>
          <w:color w:val="1A1A1A"/>
          <w:sz w:val="22"/>
          <w:szCs w:val="22"/>
        </w:rPr>
        <w:t xml:space="preserve">Vendor shall comply with all applicable federal, state, and local laws and regulations, including, in Texas, the Texas Property Code, and in Florida, Chapters 718 and 720 of the Florida Statutes, as applicable.</w:t>
      </w:r>
    </w:p>
    <w:p>
      <w:r>
        <w:br w:type="page"/>
      </w:r>
    </w:p>
    <w:p>
      <w:pPr>
        <w:spacing w:after="60" w:before="0"/>
      </w:pPr>
      <w:r>
        <w:rPr>
          <w:rFonts w:ascii="Lato" w:cs="Lato" w:eastAsia="Lato" w:hAnsi="Lato"/>
          <w:b/>
          <w:bCs/>
          <w:color w:val="C9A24A"/>
          <w:spacing w:val="100"/>
          <w:sz w:val="16"/>
          <w:szCs w:val="16"/>
        </w:rPr>
        <w:t xml:space="preserve">SECTION 11  /  FORM 3</w:t>
      </w:r>
    </w:p>
    <w:p>
      <w:pPr>
        <w:pStyle w:val="Heading1"/>
        <w:spacing w:after="160" w:before="280"/>
      </w:pPr>
      <w:r>
        <w:rPr>
          <w:rFonts w:ascii="Garamond" w:cs="Garamond" w:eastAsia="Garamond" w:hAnsi="Garamond"/>
          <w:b/>
          <w:bCs/>
          <w:color w:val="173F35"/>
          <w:sz w:val="40"/>
          <w:szCs w:val="40"/>
        </w:rPr>
        <w:t xml:space="preserve">Bid Sheet</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All pricing shall be inclusive of state, local, and any other applicable taxes. Pricing valid for sixty (60) days following the Proposal Due Date. Customize the Bid Matrix rows to your specific Statement of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920"/>
        <w:gridCol w:w="1880"/>
        <w:gridCol w:w="2560"/>
      </w:tblGrid>
      <w:tr>
        <w:trPr>
          <w:tblHeader/>
        </w:trPr>
        <w:tc>
          <w:tcPr>
            <w:tcW w:type="dxa" w:w="49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BID MATRIX</w:t>
            </w:r>
          </w:p>
        </w:tc>
        <w:tc>
          <w:tcPr>
            <w:tcW w:type="dxa" w:w="188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MONTHLY</w:t>
            </w:r>
          </w:p>
        </w:tc>
        <w:tc>
          <w:tcPr>
            <w:tcW w:type="dxa" w:w="256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ANNUAL</w:t>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Base Recurring Service (per Statement of Work, Section 3.1)</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Add-on / Optional Recurring Service A — [describe]</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Add-on / Optional Recurring Service B — [describe]</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As-Needed Labor Rate — [Service Category] (per man-hour)</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As-Needed Labor Rate — [Skilled / Specialty] (per man-hour)</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Materials / Pass-Through Markup (%)</w:t>
            </w:r>
          </w:p>
        </w:tc>
        <w:tc>
          <w:tcPr>
            <w:tcW w:type="dxa" w:w="188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Mobilization / One-Time Setup Fee (if any)</w:t>
            </w:r>
          </w:p>
        </w:tc>
        <w:tc>
          <w:tcPr>
            <w:tcW w:type="dxa" w:w="188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256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492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TOTAL — All-Inclusive</w:t>
            </w:r>
          </w:p>
        </w:tc>
        <w:tc>
          <w:tcPr>
            <w:tcW w:type="dxa" w:w="188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
            </w:r>
          </w:p>
        </w:tc>
        <w:tc>
          <w:tcPr>
            <w:tcW w:type="dxa" w:w="2560"/>
            <w:tcBorders>
              <w:top w:val="single" w:color="C9A24A" w:sz="4"/>
              <w:left w:val="single" w:color="C9A24A" w:sz="4"/>
              <w:bottom w:val="single" w:color="C9A24A" w:sz="4"/>
              <w:right w:val="single" w:color="C9A24A" w:sz="4"/>
            </w:tcBorders>
            <w:shd w:fill="EAE2C7" w:color="auto" w:val="clear"/>
            <w:tcMar>
              <w:top w:type="dxa" w:w="200"/>
              <w:left w:type="dxa" w:w="160"/>
              <w:bottom w:type="dxa" w:w="200"/>
              <w:right w:type="dxa" w:w="160"/>
            </w:tcMar>
          </w:tcPr>
          <w:p>
            <w:pPr>
              <w:spacing w:after="0" w:before="0" w:line="300"/>
              <w:jc w:val="left"/>
            </w:pPr>
            <w:r>
              <w:rPr>
                <w:rFonts w:ascii="Lato" w:cs="Lato" w:eastAsia="Lato" w:hAnsi="Lato"/>
                <w:b/>
                <w:bCs/>
                <w:color w:val="173F35"/>
                <w:sz w:val="22"/>
                <w:szCs w:val="22"/>
              </w:rPr>
              <w:t xml:space="preserve"/>
            </w:r>
          </w:p>
        </w:tc>
      </w:tr>
    </w:tbl>
    <w:p>
      <w:pPr>
        <w:spacing w:after="8" w:before="8"/>
      </w:pPr>
      <w:r>
        <w:rPr>
          <w:sz w:val="2"/>
          <w:szCs w:val="2"/>
        </w:rPr>
        <w:t xml:space="preserve"/>
      </w:r>
    </w:p>
    <w:p>
      <w:pPr>
        <w:spacing w:after="0" w:before="0" w:line="300"/>
        <w:jc w:val="left"/>
      </w:pPr>
      <w:r>
        <w:rPr>
          <w:rFonts w:ascii="Lato" w:cs="Lato" w:eastAsia="Lato" w:hAnsi="Lato"/>
          <w:i/>
          <w:iCs/>
          <w:color w:val="5C5C5C"/>
          <w:sz w:val="18"/>
          <w:szCs w:val="18"/>
        </w:rPr>
        <w:t xml:space="preserve">Notes: only the Base Recurring Service is billed routinely. Add-on and as-needed services will be billed upon completion of approved work orders.</w:t>
      </w:r>
    </w:p>
    <w:p>
      <w:r>
        <w:br w:type="page"/>
      </w:r>
    </w:p>
    <w:p>
      <w:pPr>
        <w:spacing w:after="60" w:before="0"/>
      </w:pPr>
      <w:r>
        <w:rPr>
          <w:rFonts w:ascii="Lato" w:cs="Lato" w:eastAsia="Lato" w:hAnsi="Lato"/>
          <w:b/>
          <w:bCs/>
          <w:color w:val="C9A24A"/>
          <w:spacing w:val="100"/>
          <w:sz w:val="16"/>
          <w:szCs w:val="16"/>
        </w:rPr>
        <w:t xml:space="preserve">SECTION 12  /  FORM 4</w:t>
      </w:r>
    </w:p>
    <w:p>
      <w:pPr>
        <w:pStyle w:val="Heading1"/>
        <w:spacing w:after="160" w:before="280"/>
      </w:pPr>
      <w:r>
        <w:rPr>
          <w:rFonts w:ascii="Garamond" w:cs="Garamond" w:eastAsia="Garamond" w:hAnsi="Garamond"/>
          <w:b/>
          <w:bCs/>
          <w:color w:val="173F35"/>
          <w:sz w:val="40"/>
          <w:szCs w:val="40"/>
        </w:rPr>
        <w:t xml:space="preserve">Bid Authorization &amp; Affidavit</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By signing below, the undersigned officer of the proposing company certifies, under penalty of perjury, the following:</w:t>
      </w:r>
    </w:p>
    <w:p>
      <w:pPr>
        <w:pStyle w:val="ListParagraph"/>
        <w:numPr>
          <w:ilvl w:val="0"/>
          <w:numId w:val="3"/>
        </w:numPr>
        <w:spacing w:after="100" w:before="60" w:line="300"/>
      </w:pPr>
      <w:r>
        <w:rPr>
          <w:rFonts w:ascii="Lato" w:cs="Lato" w:eastAsia="Lato" w:hAnsi="Lato"/>
          <w:color w:val="1A1A1A"/>
          <w:sz w:val="22"/>
          <w:szCs w:val="22"/>
        </w:rPr>
        <w:t xml:space="preserve">The proposing company has examined the RFP and its specifications, has carefully prepared the Bid Sheet, and has checked the Bid Sheet in detail before submission.</w:t>
      </w:r>
    </w:p>
    <w:p>
      <w:pPr>
        <w:pStyle w:val="ListParagraph"/>
        <w:numPr>
          <w:ilvl w:val="0"/>
          <w:numId w:val="3"/>
        </w:numPr>
        <w:spacing w:after="100" w:before="60" w:line="300"/>
      </w:pPr>
      <w:r>
        <w:rPr>
          <w:rFonts w:ascii="Lato" w:cs="Lato" w:eastAsia="Lato" w:hAnsi="Lato"/>
          <w:color w:val="1A1A1A"/>
          <w:sz w:val="22"/>
          <w:szCs w:val="22"/>
        </w:rPr>
        <w:t xml:space="preserve">Neither the proposing company, nor any of its agents, officers, employees, or affiliates, has — directly or indirectly — entered into any agreement, participated in any collusion, or otherwise taken any action in restraint of free competitive bidding in connection with this RFP.</w:t>
      </w:r>
    </w:p>
    <w:p>
      <w:pPr>
        <w:pStyle w:val="ListParagraph"/>
        <w:numPr>
          <w:ilvl w:val="0"/>
          <w:numId w:val="3"/>
        </w:numPr>
        <w:spacing w:after="100" w:before="60" w:line="300"/>
      </w:pPr>
      <w:r>
        <w:rPr>
          <w:rFonts w:ascii="Lato" w:cs="Lato" w:eastAsia="Lato" w:hAnsi="Lato"/>
          <w:color w:val="1A1A1A"/>
          <w:sz w:val="22"/>
          <w:szCs w:val="22"/>
        </w:rPr>
        <w:t xml:space="preserve">The proposing company has disclosed all known conflicts of interest as required by Section 6 of this RFP.</w:t>
      </w:r>
    </w:p>
    <w:p>
      <w:pPr>
        <w:pStyle w:val="ListParagraph"/>
        <w:numPr>
          <w:ilvl w:val="0"/>
          <w:numId w:val="3"/>
        </w:numPr>
        <w:spacing w:after="100" w:before="60" w:line="300"/>
      </w:pPr>
      <w:r>
        <w:rPr>
          <w:rFonts w:ascii="Lato" w:cs="Lato" w:eastAsia="Lato" w:hAnsi="Lato"/>
          <w:color w:val="1A1A1A"/>
          <w:sz w:val="22"/>
          <w:szCs w:val="22"/>
        </w:rPr>
        <w:t xml:space="preserve">All work proposed will be performed at the proposing company’s sole cost and expense, including all materials, labor, tools, machinery, and other means of performance, in the manner provided in the RFP and at the times specified.</w:t>
      </w:r>
    </w:p>
    <w:p>
      <w:pPr>
        <w:pStyle w:val="ListParagraph"/>
        <w:numPr>
          <w:ilvl w:val="0"/>
          <w:numId w:val="3"/>
        </w:numPr>
        <w:spacing w:after="100" w:before="60" w:line="300"/>
      </w:pPr>
      <w:r>
        <w:rPr>
          <w:rFonts w:ascii="Lato" w:cs="Lato" w:eastAsia="Lato" w:hAnsi="Lato"/>
          <w:color w:val="1A1A1A"/>
          <w:sz w:val="22"/>
          <w:szCs w:val="22"/>
        </w:rPr>
        <w:t xml:space="preserve">The pricing on the Bid Sheet is firm and valid for sixty (60) calendar days after the Proposal Due Date.</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Company Name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Date: ____________________________________</w:t>
            </w:r>
          </w:p>
          <w:p>
            <w:pPr>
              <w:spacing w:after="60" w:before="0" w:line="300"/>
              <w:jc w:val="left"/>
            </w:pPr>
            <w:r>
              <w:rPr>
                <w:rFonts w:ascii="Lato" w:cs="Lato" w:eastAsia="Lato" w:hAnsi="Lato"/>
                <w:color w:val="5C5C5C"/>
                <w:sz w:val="18"/>
                <w:szCs w:val="18"/>
              </w:rPr>
              <w:t xml:space="preserve">RFP Reference #: 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RFP — Adoption-Ready Template  •  Tier 1/2</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RFP Template — Tier 1/2</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Tier 1/2 Adoption-Ready Template</dc:title>
  <dc:creator>Common Interest Community Standards Council (CIC-SC)</dc:creator>
  <dc:description>CIC-SC Vendor Management Toolkit. Texas &amp; Florida applicable.</dc:description>
  <cp:lastModifiedBy>Un-named</cp:lastModifiedBy>
  <cp:revision>1</cp:revision>
  <dcterms:created xsi:type="dcterms:W3CDTF">2026-05-10T20:23:58.868Z</dcterms:created>
  <dcterms:modified xsi:type="dcterms:W3CDTF">2026-05-10T20:23:58.869Z</dcterms:modified>
</cp:coreProperties>
</file>

<file path=docProps/custom.xml><?xml version="1.0" encoding="utf-8"?>
<Properties xmlns="http://schemas.openxmlformats.org/officeDocument/2006/custom-properties" xmlns:vt="http://schemas.openxmlformats.org/officeDocument/2006/docPropsVTypes"/>
</file>