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Comparative Proposal Evaluation Worksheet</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Choosing Well</w:t>
      </w:r>
    </w:p>
    <w:p>
      <w:pPr>
        <w:spacing w:after="240" w:before="0"/>
        <w:jc w:val="left"/>
      </w:pPr>
      <w:r>
        <w:rPr>
          <w:rFonts w:ascii="Garamond" w:cs="Garamond" w:eastAsia="Garamond" w:hAnsi="Garamond"/>
          <w:i/>
          <w:iCs/>
          <w:color w:val="173F35"/>
          <w:sz w:val="60"/>
          <w:szCs w:val="60"/>
        </w:rPr>
        <w:t xml:space="preserve">Among Bidders</w:t>
      </w:r>
    </w:p>
    <w:p>
      <w:pPr>
        <w:spacing w:after="1200" w:before="80"/>
        <w:jc w:val="left"/>
      </w:pPr>
      <w:r>
        <w:rPr>
          <w:rFonts w:ascii="Lato" w:cs="Lato" w:eastAsia="Lato" w:hAnsi="Lato"/>
          <w:color w:val="1A1A1A"/>
          <w:sz w:val="24"/>
          <w:szCs w:val="24"/>
        </w:rPr>
        <w:t xml:space="preserve">How HOA and condominium boards score, compare, and award vendor proposals on a uniform, defensible basis — written for volunteer directors and managers in Texas and Florida.</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Comparative Proposal Evaluation Worksheet  •  RFP Tier 1/2 Toolkit  •  Standalone Sample Drafts</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The award decision is the single moment in the RFP cycle that creates the most legal, financial, and reputational exposure for a board. The Comparative Proposal Evaluation Worksheet operationalizes that moment — converting it from an opaque conversation around a kitchen table into a written, structured, defensible record.</w:t>
      </w:r>
    </w:p>
    <w:p>
      <w:pPr>
        <w:spacing w:after="120" w:before="0" w:line="320"/>
        <w:jc w:val="left"/>
      </w:pPr>
      <w:r>
        <w:rPr>
          <w:rFonts w:ascii="Lato" w:cs="Lato" w:eastAsia="Lato" w:hAnsi="Lato"/>
          <w:color w:val="1A1A1A"/>
          <w:sz w:val="22"/>
          <w:szCs w:val="22"/>
        </w:rPr>
        <w:t xml:space="preserve">This guide explains how to use the worksheet well: how to set weights, how to read 1–5 scores, how to apply the threshold filter, how to handle conflicts, how to write the award memo, and the eight scoring mistakes that most often undermine an otherwise good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Apply the threshold filter first — proposals that fail any threshold criterion are removed from the comparison, full stop. Score the remaining proposals on a uniform 1–5 rubric across eight criteria with explicit weights. Document conflicts and recusals. Award to the lowest-priced, technically acceptable bidder. Write the recommendation memo. Vote at an open meeting. Save the file. That is the practice — the rest of this guide explains why each step matters and where the common errors hide.</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Why a Uniform Rubric</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Boards that evaluate proposals informally rarely arrive at a wrong answer once. They arrive at a sequence of small inconsistencies — different criteria emphasized for different bidders, different evidence weighted differently, different memories applied to references — and the cumulative effect is a decision that is hard to defend, hard to repeat, and hard to explain.</w:t>
      </w:r>
    </w:p>
    <w:p>
      <w:pPr>
        <w:spacing w:after="200" w:before="0" w:line="320"/>
        <w:jc w:val="left"/>
      </w:pPr>
      <w:r>
        <w:rPr>
          <w:rFonts w:ascii="Lato" w:cs="Lato" w:eastAsia="Lato" w:hAnsi="Lato"/>
          <w:color w:val="1A1A1A"/>
          <w:sz w:val="22"/>
          <w:szCs w:val="22"/>
        </w:rPr>
        <w:t xml:space="preserve">A written rubric does not replace board judgment. It disciplines it. The eight criteria in this worksheet ensure that every proposal is examined for the same things in the same way. The weights ensure that the criteria the Board has decided to value most actually weigh more in the result. And the threshold filter ensures that proposals that do not meet basic requirements are eliminated before scoring — preventing a low-quality but charismatic bidder from arguing their way into a contract for which they were never qualified.</w:t>
      </w:r>
    </w:p>
    <w:p>
      <w:r>
        <w:br w:type="page"/>
      </w:r>
    </w:p>
    <w:p>
      <w:pPr>
        <w:spacing w:after="60" w:before="0"/>
      </w:pPr>
      <w:r>
        <w:rPr>
          <w:rFonts w:ascii="Lato" w:cs="Lato" w:eastAsia="Lato" w:hAnsi="Lato"/>
          <w:b/>
          <w:bCs/>
          <w:color w:val="C9A24A"/>
          <w:spacing w:val="100"/>
          <w:sz w:val="16"/>
          <w:szCs w:val="16"/>
        </w:rPr>
        <w:t xml:space="preserve">READING THE RUBRIC</w:t>
      </w:r>
    </w:p>
    <w:p>
      <w:pPr>
        <w:pStyle w:val="Heading1"/>
        <w:spacing w:after="160" w:before="280"/>
      </w:pPr>
      <w:r>
        <w:rPr>
          <w:rFonts w:ascii="Garamond" w:cs="Garamond" w:eastAsia="Garamond" w:hAnsi="Garamond"/>
          <w:b/>
          <w:bCs/>
          <w:color w:val="173F35"/>
          <w:sz w:val="40"/>
          <w:szCs w:val="40"/>
        </w:rPr>
        <w:t xml:space="preserve">How to Read the 1–5 Scale</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Most evaluation errors start with a soft 1–5 scale — “3 means OK, 4 means good, 5 means great” — that means whatever the evaluator wants it to mean. The CIC-SC rubric defines each value precisely:</w:t>
      </w:r>
    </w:p>
    <w:p>
      <w:pPr>
        <w:pStyle w:val="ListParagraph"/>
        <w:numPr>
          <w:ilvl w:val="0"/>
          <w:numId w:val="2"/>
        </w:numPr>
        <w:spacing w:after="60" w:before="40" w:line="290"/>
      </w:pPr>
      <w:r>
        <w:rPr>
          <w:rFonts w:ascii="Lato" w:cs="Lato" w:eastAsia="Lato" w:hAnsi="Lato"/>
          <w:b/>
          <w:bCs/>
          <w:color w:val="173F35"/>
          <w:sz w:val="22"/>
          <w:szCs w:val="22"/>
        </w:rPr>
        <w:t xml:space="preserve">5  Exemplary  </w:t>
      </w:r>
      <w:r>
        <w:rPr>
          <w:rFonts w:ascii="Lato" w:cs="Lato" w:eastAsia="Lato" w:hAnsi="Lato"/>
          <w:color w:val="1A1A1A"/>
          <w:sz w:val="22"/>
          <w:szCs w:val="22"/>
        </w:rPr>
        <w:t xml:space="preserve">— substantially exceeds expectations; a clear standout in the comparison set; the bidder has done this before, often, at properties like yours. </w:t>
      </w:r>
      <w:r>
        <w:rPr>
          <w:rFonts w:ascii="Lato" w:cs="Lato" w:eastAsia="Lato" w:hAnsi="Lato"/>
          <w:i/>
          <w:iCs/>
          <w:color w:val="C9A24A"/>
          <w:sz w:val="22"/>
          <w:szCs w:val="22"/>
        </w:rPr>
        <w:t xml:space="preserve">Use sparingly.</w:t>
      </w:r>
    </w:p>
    <w:p>
      <w:pPr>
        <w:pStyle w:val="ListParagraph"/>
        <w:numPr>
          <w:ilvl w:val="0"/>
          <w:numId w:val="2"/>
        </w:numPr>
        <w:spacing w:after="60" w:before="40" w:line="290"/>
      </w:pPr>
      <w:r>
        <w:rPr>
          <w:rFonts w:ascii="Lato" w:cs="Lato" w:eastAsia="Lato" w:hAnsi="Lato"/>
          <w:b/>
          <w:bCs/>
          <w:color w:val="173F35"/>
          <w:sz w:val="22"/>
          <w:szCs w:val="22"/>
        </w:rPr>
        <w:t xml:space="preserve">4  Strong  </w:t>
      </w:r>
      <w:r>
        <w:rPr>
          <w:rFonts w:ascii="Lato" w:cs="Lato" w:eastAsia="Lato" w:hAnsi="Lato"/>
          <w:color w:val="1A1A1A"/>
          <w:sz w:val="22"/>
          <w:szCs w:val="22"/>
        </w:rPr>
        <w:t xml:space="preserve">— exceeds minimum requirements with depth and clarity; a confident hire on this criterion alone.</w:t>
      </w:r>
    </w:p>
    <w:p>
      <w:pPr>
        <w:pStyle w:val="ListParagraph"/>
        <w:numPr>
          <w:ilvl w:val="0"/>
          <w:numId w:val="2"/>
        </w:numPr>
        <w:spacing w:after="60" w:before="40" w:line="290"/>
      </w:pPr>
      <w:r>
        <w:rPr>
          <w:rFonts w:ascii="Lato" w:cs="Lato" w:eastAsia="Lato" w:hAnsi="Lato"/>
          <w:b/>
          <w:bCs/>
          <w:color w:val="173F35"/>
          <w:sz w:val="22"/>
          <w:szCs w:val="22"/>
        </w:rPr>
        <w:t xml:space="preserve">3  Acceptable  </w:t>
      </w:r>
      <w:r>
        <w:rPr>
          <w:rFonts w:ascii="Lato" w:cs="Lato" w:eastAsia="Lato" w:hAnsi="Lato"/>
          <w:color w:val="1A1A1A"/>
          <w:sz w:val="22"/>
          <w:szCs w:val="22"/>
        </w:rPr>
        <w:t xml:space="preserve">— meets minimum requirements; reasonable evidence of capability; nothing standout. </w:t>
      </w:r>
      <w:r>
        <w:rPr>
          <w:rFonts w:ascii="Lato" w:cs="Lato" w:eastAsia="Lato" w:hAnsi="Lato"/>
          <w:i/>
          <w:iCs/>
          <w:color w:val="C9A24A"/>
          <w:sz w:val="22"/>
          <w:szCs w:val="22"/>
        </w:rPr>
        <w:t xml:space="preserve">This is the default score, not 4.</w:t>
      </w:r>
    </w:p>
    <w:p>
      <w:pPr>
        <w:pStyle w:val="ListParagraph"/>
        <w:numPr>
          <w:ilvl w:val="0"/>
          <w:numId w:val="2"/>
        </w:numPr>
        <w:spacing w:after="60" w:before="40" w:line="290"/>
      </w:pPr>
      <w:r>
        <w:rPr>
          <w:rFonts w:ascii="Lato" w:cs="Lato" w:eastAsia="Lato" w:hAnsi="Lato"/>
          <w:b/>
          <w:bCs/>
          <w:color w:val="173F35"/>
          <w:sz w:val="22"/>
          <w:szCs w:val="22"/>
        </w:rPr>
        <w:t xml:space="preserve">2  Weak  </w:t>
      </w:r>
      <w:r>
        <w:rPr>
          <w:rFonts w:ascii="Lato" w:cs="Lato" w:eastAsia="Lato" w:hAnsi="Lato"/>
          <w:color w:val="1A1A1A"/>
          <w:sz w:val="22"/>
          <w:szCs w:val="22"/>
        </w:rPr>
        <w:t xml:space="preserve">— meets some but not all minimum requirements; significant gap or concern that the bidder did not adequately address.</w:t>
      </w:r>
    </w:p>
    <w:p>
      <w:pPr>
        <w:pStyle w:val="ListParagraph"/>
        <w:numPr>
          <w:ilvl w:val="0"/>
          <w:numId w:val="2"/>
        </w:numPr>
        <w:spacing w:after="60" w:before="40" w:line="290"/>
      </w:pPr>
      <w:r>
        <w:rPr>
          <w:rFonts w:ascii="Lato" w:cs="Lato" w:eastAsia="Lato" w:hAnsi="Lato"/>
          <w:b/>
          <w:bCs/>
          <w:color w:val="173F35"/>
          <w:sz w:val="22"/>
          <w:szCs w:val="22"/>
        </w:rPr>
        <w:t xml:space="preserve">1  Unacceptable  </w:t>
      </w:r>
      <w:r>
        <w:rPr>
          <w:rFonts w:ascii="Lato" w:cs="Lato" w:eastAsia="Lato" w:hAnsi="Lato"/>
          <w:color w:val="1A1A1A"/>
          <w:sz w:val="22"/>
          <w:szCs w:val="22"/>
        </w:rPr>
        <w:t xml:space="preserve">— fails to meet minimum requirements; should generally have been caught at threshold but may surface during scoring.</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THE 3-DEFAULT RULE</w:t>
            </w:r>
          </w:p>
          <w:p>
            <w:pPr>
              <w:spacing w:after="0" w:before="0" w:line="300"/>
              <w:jc w:val="left"/>
            </w:pPr>
            <w:r>
              <w:rPr>
                <w:rFonts w:ascii="Lato" w:cs="Lato" w:eastAsia="Lato" w:hAnsi="Lato"/>
                <w:color w:val="1A1A1A"/>
                <w:sz w:val="22"/>
                <w:szCs w:val="22"/>
              </w:rPr>
              <w:t xml:space="preserve">Score every cell at 3 by default — “acceptable, nothing standout” — and only move up or down with specific written evidence. Boards that start at 4 and move down rarely produce useful comparisons because every bidder ends in the 3.5–4.5 band. Anchoring to 3 forces the rubric to do its job.</w:t>
            </w:r>
          </w:p>
        </w:tc>
      </w:tr>
    </w:tbl>
    <w:p>
      <w:r>
        <w:br w:type="page"/>
      </w:r>
    </w:p>
    <w:p>
      <w:pPr>
        <w:spacing w:after="60" w:before="0"/>
      </w:pPr>
      <w:r>
        <w:rPr>
          <w:rFonts w:ascii="Lato" w:cs="Lato" w:eastAsia="Lato" w:hAnsi="Lato"/>
          <w:b/>
          <w:bCs/>
          <w:color w:val="C9A24A"/>
          <w:spacing w:val="100"/>
          <w:sz w:val="16"/>
          <w:szCs w:val="16"/>
        </w:rPr>
        <w:t xml:space="preserve">SETTING WEIGHTS</w:t>
      </w:r>
    </w:p>
    <w:p>
      <w:pPr>
        <w:pStyle w:val="Heading1"/>
        <w:spacing w:after="160" w:before="280"/>
      </w:pPr>
      <w:r>
        <w:rPr>
          <w:rFonts w:ascii="Garamond" w:cs="Garamond" w:eastAsia="Garamond" w:hAnsi="Garamond"/>
          <w:b/>
          <w:bCs/>
          <w:color w:val="173F35"/>
          <w:sz w:val="40"/>
          <w:szCs w:val="40"/>
        </w:rPr>
        <w:t xml:space="preserve">Setting and Adjusting Weights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The default CIC-SC weights are calibrated for a typical Tier 1–2 recurring-service contract: a substantial price weight (25%) reflecting the dollar significance, balanced by qualitative criteria that capture experience, references, and approach. Boards may adjust the weights to reflect community priorities — but only on three conditions:</w:t>
      </w:r>
    </w:p>
    <w:p>
      <w:pPr>
        <w:pStyle w:val="ListParagraph"/>
        <w:numPr>
          <w:ilvl w:val="0"/>
          <w:numId w:val="3"/>
        </w:numPr>
        <w:spacing w:after="100" w:before="60" w:line="300"/>
      </w:pPr>
      <w:r>
        <w:rPr>
          <w:rFonts w:ascii="Lato" w:cs="Lato" w:eastAsia="Lato" w:hAnsi="Lato"/>
          <w:color w:val="1A1A1A"/>
          <w:sz w:val="22"/>
          <w:szCs w:val="22"/>
        </w:rPr>
        <w:t xml:space="preserve">Adjustments are made before any scores are entered. Adjusting weights after scoring is reverse-engineering — and visibly so.</w:t>
      </w:r>
    </w:p>
    <w:p>
      <w:pPr>
        <w:pStyle w:val="ListParagraph"/>
        <w:numPr>
          <w:ilvl w:val="0"/>
          <w:numId w:val="3"/>
        </w:numPr>
        <w:spacing w:after="100" w:before="60" w:line="300"/>
      </w:pPr>
      <w:r>
        <w:rPr>
          <w:rFonts w:ascii="Lato" w:cs="Lato" w:eastAsia="Lato" w:hAnsi="Lato"/>
          <w:color w:val="1A1A1A"/>
          <w:sz w:val="22"/>
          <w:szCs w:val="22"/>
        </w:rPr>
        <w:t xml:space="preserve">Adjustments are documented in the meeting minutes, with the rationale stated.</w:t>
      </w:r>
    </w:p>
    <w:p>
      <w:pPr>
        <w:pStyle w:val="ListParagraph"/>
        <w:numPr>
          <w:ilvl w:val="0"/>
          <w:numId w:val="3"/>
        </w:numPr>
        <w:spacing w:after="100" w:before="60" w:line="300"/>
      </w:pPr>
      <w:r>
        <w:rPr>
          <w:rFonts w:ascii="Lato" w:cs="Lato" w:eastAsia="Lato" w:hAnsi="Lato"/>
          <w:color w:val="1A1A1A"/>
          <w:sz w:val="22"/>
          <w:szCs w:val="22"/>
        </w:rPr>
        <w:t xml:space="preserve">Adjustments are applied uniformly to every bidder. Different weights for different bidders is not a rubric, it is a pretext.</w:t>
      </w:r>
    </w:p>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When to consider adjusting weights</w:t>
      </w:r>
    </w:p>
    <w:p>
      <w:pPr>
        <w:pStyle w:val="ListParagraph"/>
        <w:numPr>
          <w:ilvl w:val="0"/>
          <w:numId w:val="2"/>
        </w:numPr>
        <w:spacing w:after="60" w:before="40" w:line="290"/>
      </w:pPr>
      <w:r>
        <w:rPr>
          <w:rFonts w:ascii="Lato" w:cs="Lato" w:eastAsia="Lato" w:hAnsi="Lato"/>
          <w:b/>
          <w:bCs/>
          <w:color w:val="173F35"/>
          <w:sz w:val="22"/>
          <w:szCs w:val="22"/>
        </w:rPr>
        <w:t xml:space="preserve">Service-quality-sensitive scopes — </w:t>
      </w:r>
      <w:r>
        <w:rPr>
          <w:rFonts w:ascii="Lato" w:cs="Lato" w:eastAsia="Lato" w:hAnsi="Lato"/>
          <w:color w:val="1A1A1A"/>
          <w:sz w:val="22"/>
          <w:szCs w:val="22"/>
        </w:rPr>
        <w:t xml:space="preserve">raise Quality Approach by 5–10 percentage points; offset against Pricing or Local Presence.</w:t>
      </w:r>
    </w:p>
    <w:p>
      <w:pPr>
        <w:pStyle w:val="ListParagraph"/>
        <w:numPr>
          <w:ilvl w:val="0"/>
          <w:numId w:val="2"/>
        </w:numPr>
        <w:spacing w:after="60" w:before="40" w:line="290"/>
      </w:pPr>
      <w:r>
        <w:rPr>
          <w:rFonts w:ascii="Lato" w:cs="Lato" w:eastAsia="Lato" w:hAnsi="Lato"/>
          <w:b/>
          <w:bCs/>
          <w:color w:val="173F35"/>
          <w:sz w:val="22"/>
          <w:szCs w:val="22"/>
        </w:rPr>
        <w:t xml:space="preserve">First-time vendor categories — </w:t>
      </w:r>
      <w:r>
        <w:rPr>
          <w:rFonts w:ascii="Lato" w:cs="Lato" w:eastAsia="Lato" w:hAnsi="Lato"/>
          <w:color w:val="1A1A1A"/>
          <w:sz w:val="22"/>
          <w:szCs w:val="22"/>
        </w:rPr>
        <w:t xml:space="preserve">raise Past Performance and Insurance &amp; Licensing; the Association lacks operating experience to monitor the work.</w:t>
      </w:r>
    </w:p>
    <w:p>
      <w:pPr>
        <w:pStyle w:val="ListParagraph"/>
        <w:numPr>
          <w:ilvl w:val="0"/>
          <w:numId w:val="2"/>
        </w:numPr>
        <w:spacing w:after="60" w:before="40" w:line="290"/>
      </w:pPr>
      <w:r>
        <w:rPr>
          <w:rFonts w:ascii="Lato" w:cs="Lato" w:eastAsia="Lato" w:hAnsi="Lato"/>
          <w:b/>
          <w:bCs/>
          <w:color w:val="173F35"/>
          <w:sz w:val="22"/>
          <w:szCs w:val="22"/>
        </w:rPr>
        <w:t xml:space="preserve">Budget-stretched years — </w:t>
      </w:r>
      <w:r>
        <w:rPr>
          <w:rFonts w:ascii="Lato" w:cs="Lato" w:eastAsia="Lato" w:hAnsi="Lato"/>
          <w:color w:val="1A1A1A"/>
          <w:sz w:val="22"/>
          <w:szCs w:val="22"/>
        </w:rPr>
        <w:t xml:space="preserve">raise Pricing — Total 3-Year Cost; flag the deviation and document in the minutes.</w:t>
      </w:r>
    </w:p>
    <w:p>
      <w:pPr>
        <w:pStyle w:val="ListParagraph"/>
        <w:numPr>
          <w:ilvl w:val="0"/>
          <w:numId w:val="2"/>
        </w:numPr>
        <w:spacing w:after="60" w:before="40" w:line="290"/>
      </w:pPr>
      <w:r>
        <w:rPr>
          <w:rFonts w:ascii="Lato" w:cs="Lato" w:eastAsia="Lato" w:hAnsi="Lato"/>
          <w:b/>
          <w:bCs/>
          <w:color w:val="173F35"/>
          <w:sz w:val="22"/>
          <w:szCs w:val="22"/>
        </w:rPr>
        <w:t xml:space="preserve">Newly-built or specialized properties — </w:t>
      </w:r>
      <w:r>
        <w:rPr>
          <w:rFonts w:ascii="Lato" w:cs="Lato" w:eastAsia="Lato" w:hAnsi="Lato"/>
          <w:color w:val="1A1A1A"/>
          <w:sz w:val="22"/>
          <w:szCs w:val="22"/>
        </w:rPr>
        <w:t xml:space="preserve">raise Local Presence &amp; Reputation when a near-miss reference would dramatically reduce risk.</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ADJUST BEFORE, NOT AFTER</w:t>
            </w:r>
          </w:p>
          <w:p>
            <w:pPr>
              <w:spacing w:after="0" w:before="0" w:line="300"/>
              <w:jc w:val="left"/>
            </w:pPr>
            <w:r>
              <w:rPr>
                <w:rFonts w:ascii="Lato" w:cs="Lato" w:eastAsia="Lato" w:hAnsi="Lato"/>
                <w:color w:val="1A1A1A"/>
                <w:sz w:val="22"/>
                <w:szCs w:val="22"/>
              </w:rPr>
              <w:t xml:space="preserve">If the Board wants to move a weight after seeing the scores, do not. Re-run the analysis with the original weights and document the result. If the Board still believes the bidder ranking should change, the Award Recommendation Memo is the place to explain why — not the weight column.</w:t>
            </w:r>
          </w:p>
        </w:tc>
      </w:tr>
    </w:tbl>
    <w:p>
      <w:r>
        <w:br w:type="page"/>
      </w:r>
    </w:p>
    <w:p>
      <w:pPr>
        <w:spacing w:after="60" w:before="0"/>
      </w:pPr>
      <w:r>
        <w:rPr>
          <w:rFonts w:ascii="Lato" w:cs="Lato" w:eastAsia="Lato" w:hAnsi="Lato"/>
          <w:b/>
          <w:bCs/>
          <w:color w:val="C9A24A"/>
          <w:spacing w:val="100"/>
          <w:sz w:val="16"/>
          <w:szCs w:val="16"/>
        </w:rPr>
        <w:t xml:space="preserve">COMMON SCORING ERRORS</w:t>
      </w:r>
    </w:p>
    <w:p>
      <w:pPr>
        <w:pStyle w:val="Heading1"/>
        <w:spacing w:after="160" w:before="280"/>
      </w:pPr>
      <w:r>
        <w:rPr>
          <w:rFonts w:ascii="Garamond" w:cs="Garamond" w:eastAsia="Garamond" w:hAnsi="Garamond"/>
          <w:b/>
          <w:bCs/>
          <w:color w:val="173F35"/>
          <w:sz w:val="40"/>
          <w:szCs w:val="40"/>
        </w:rPr>
        <w:t xml:space="preserve">Eight Scoring Errors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1 — HALO EFFECT</w:t>
            </w:r>
          </w:p>
          <w:p>
            <w:pPr>
              <w:spacing w:after="0" w:before="0" w:line="300"/>
              <w:jc w:val="left"/>
            </w:pPr>
            <w:r>
              <w:rPr>
                <w:rFonts w:ascii="Lato" w:cs="Lato" w:eastAsia="Lato" w:hAnsi="Lato"/>
                <w:color w:val="1A1A1A"/>
                <w:sz w:val="22"/>
                <w:szCs w:val="22"/>
              </w:rPr>
              <w:t xml:space="preserve">Letting one strong impression (a charismatic sales presentation, a glossy proposal) bias every score upward. Counter it by scoring criteria one at a time across all bidders, not all criteria for one bidder before moving on.</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2 — ANCHORING ON PRICE</w:t>
            </w:r>
          </w:p>
          <w:p>
            <w:pPr>
              <w:spacing w:after="0" w:before="0" w:line="300"/>
              <w:jc w:val="left"/>
            </w:pPr>
            <w:r>
              <w:rPr>
                <w:rFonts w:ascii="Lato" w:cs="Lato" w:eastAsia="Lato" w:hAnsi="Lato"/>
                <w:color w:val="1A1A1A"/>
                <w:sz w:val="22"/>
                <w:szCs w:val="22"/>
              </w:rPr>
              <w:t xml:space="preserve">Reading the price first and then unconsciously adjusting qualitative scores to match. Avoid by completing Sections 4 and 5 (threshold + scoring) before opening Section 6 (pricing).</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3 — INCUMBENT BIAS</w:t>
            </w:r>
          </w:p>
          <w:p>
            <w:pPr>
              <w:spacing w:after="0" w:before="0" w:line="300"/>
              <w:jc w:val="left"/>
            </w:pPr>
            <w:r>
              <w:rPr>
                <w:rFonts w:ascii="Lato" w:cs="Lato" w:eastAsia="Lato" w:hAnsi="Lato"/>
                <w:color w:val="1A1A1A"/>
                <w:sz w:val="22"/>
                <w:szCs w:val="22"/>
              </w:rPr>
              <w:t xml:space="preserve">Scoring the incumbent at 4–5 across the board because the Board is comfortable with them. The discipline is to score the incumbent on the same evidence as everyone else — recent references, current crew, current pricing — not on accumulated goodwill.</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4 — RANGE COMPRESSION</w:t>
            </w:r>
          </w:p>
          <w:p>
            <w:pPr>
              <w:spacing w:after="0" w:before="0" w:line="300"/>
              <w:jc w:val="left"/>
            </w:pPr>
            <w:r>
              <w:rPr>
                <w:rFonts w:ascii="Lato" w:cs="Lato" w:eastAsia="Lato" w:hAnsi="Lato"/>
                <w:color w:val="1A1A1A"/>
                <w:sz w:val="22"/>
                <w:szCs w:val="22"/>
              </w:rPr>
              <w:t xml:space="preserve">Every bidder lands between 3.5 and 4.5; nothing differentiates. Force the range by anchoring at 3 and only moving with written evidence; reserve 5 for a clear standout (typically one bidder per RFP, often none).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5 — WEIGHT DRIFT</w:t>
            </w:r>
          </w:p>
          <w:p>
            <w:pPr>
              <w:spacing w:after="0" w:before="0" w:line="300"/>
              <w:jc w:val="left"/>
            </w:pPr>
            <w:r>
              <w:rPr>
                <w:rFonts w:ascii="Lato" w:cs="Lato" w:eastAsia="Lato" w:hAnsi="Lato"/>
                <w:color w:val="1A1A1A"/>
                <w:sz w:val="22"/>
                <w:szCs w:val="22"/>
              </w:rPr>
              <w:t xml:space="preserve">Adjusting weights after scoring to produce a desired outcome. The integrity of the rubric depends on weights being locked before any score is entered; document the locked weights in the meeting minutes that authorize the evaluation.</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6 — VERBAL EVALUATIONS</w:t>
            </w:r>
          </w:p>
          <w:p>
            <w:pPr>
              <w:spacing w:after="0" w:before="0" w:line="300"/>
              <w:jc w:val="left"/>
            </w:pPr>
            <w:r>
              <w:rPr>
                <w:rFonts w:ascii="Lato" w:cs="Lato" w:eastAsia="Lato" w:hAnsi="Lato"/>
                <w:color w:val="1A1A1A"/>
                <w:sz w:val="22"/>
                <w:szCs w:val="22"/>
              </w:rPr>
              <w:t xml:space="preserve">Discussing scores without writing them down, then producing the worksheet at the end as a record-keeping exercise. The worksheet exists to discipline thinking in real time; complete it as you go, then average across evaluators.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7 — SKIPPING THRESHOLD</w:t>
            </w:r>
          </w:p>
          <w:p>
            <w:pPr>
              <w:spacing w:after="0" w:before="0" w:line="300"/>
              <w:jc w:val="left"/>
            </w:pPr>
            <w:r>
              <w:rPr>
                <w:rFonts w:ascii="Lato" w:cs="Lato" w:eastAsia="Lato" w:hAnsi="Lato"/>
                <w:color w:val="1A1A1A"/>
                <w:sz w:val="22"/>
                <w:szCs w:val="22"/>
              </w:rPr>
              <w:t xml:space="preserve">Scoring a proposal that should never have advanced. Threshold is a bright line — failing any criterion ends the inquiry for that bidder. Threshold failures are not a 1 or a 2 in scoring; they are a removal from the pool.</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ERROR 8 — HIDDEN CONFLICTS</w:t>
            </w:r>
          </w:p>
          <w:p>
            <w:pPr>
              <w:spacing w:after="0" w:before="0" w:line="300"/>
              <w:jc w:val="left"/>
            </w:pPr>
            <w:r>
              <w:rPr>
                <w:rFonts w:ascii="Lato" w:cs="Lato" w:eastAsia="Lato" w:hAnsi="Lato"/>
                <w:color w:val="1A1A1A"/>
                <w:sz w:val="22"/>
                <w:szCs w:val="22"/>
              </w:rPr>
              <w:t xml:space="preserve">A director discovers mid-evaluation that a relative works for one of the bidders, but says nothing because “the score is going to come out the same.” It will not. Disclose immediately under the Code of Ethics, recuse from the bidder’s scoring, and document.</w:t>
            </w:r>
          </w:p>
        </w:tc>
      </w:tr>
    </w:tbl>
    <w:p>
      <w:r>
        <w:br w:type="page"/>
      </w:r>
    </w:p>
    <w:p>
      <w:pPr>
        <w:spacing w:after="60" w:before="0"/>
      </w:pPr>
      <w:r>
        <w:rPr>
          <w:rFonts w:ascii="Lato" w:cs="Lato" w:eastAsia="Lato" w:hAnsi="Lato"/>
          <w:b/>
          <w:bCs/>
          <w:color w:val="C9A24A"/>
          <w:spacing w:val="100"/>
          <w:sz w:val="16"/>
          <w:szCs w:val="16"/>
        </w:rPr>
        <w:t xml:space="preserve">CONFLICTS OF INTEREST</w:t>
      </w:r>
    </w:p>
    <w:p>
      <w:pPr>
        <w:pStyle w:val="Heading1"/>
        <w:spacing w:after="160" w:before="280"/>
      </w:pPr>
      <w:r>
        <w:rPr>
          <w:rFonts w:ascii="Garamond" w:cs="Garamond" w:eastAsia="Garamond" w:hAnsi="Garamond"/>
          <w:b/>
          <w:bCs/>
          <w:color w:val="173F35"/>
          <w:sz w:val="40"/>
          <w:szCs w:val="40"/>
        </w:rPr>
        <w:t xml:space="preserve">Handling Conflicts in the Evaluation</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A conflict of interest in evaluation is not a problem if disclosed and managed; it becomes a problem if hidden. The worksheet captures conflicts in three places: the Recusal Log (Section 2), the scoring exclusions for the conflicted evaluator, and the disclosed-conflict line in the Award Recommendation Memo.</w:t>
      </w:r>
    </w:p>
    <w:p>
      <w:pPr>
        <w:pStyle w:val="Heading3"/>
        <w:spacing w:after="160" w:before="280"/>
      </w:pPr>
      <w:r>
        <w:rPr>
          <w:rFonts w:ascii="Garamond" w:cs="Garamond" w:eastAsia="Garamond" w:hAnsi="Garamond"/>
          <w:b/>
          <w:bCs/>
          <w:color w:val="173F35"/>
          <w:sz w:val="26"/>
          <w:szCs w:val="26"/>
        </w:rPr>
        <w:t xml:space="preserve">If an evaluator has a conflict on a particular bidder</w:t>
      </w:r>
    </w:p>
    <w:p>
      <w:pPr>
        <w:spacing w:after="160" w:before="0" w:line="320"/>
        <w:jc w:val="left"/>
      </w:pPr>
      <w:r>
        <w:rPr>
          <w:rFonts w:ascii="Lato" w:cs="Lato" w:eastAsia="Lato" w:hAnsi="Lato"/>
          <w:color w:val="1A1A1A"/>
          <w:sz w:val="22"/>
          <w:szCs w:val="22"/>
        </w:rPr>
        <w:t xml:space="preserve">The evaluator records the conflict in the Recusal Log. The evaluator does not score that bidder. The conflicted evaluator’s scores for non-conflicted bidders are unaffected. The consensus average for the conflicted bidder is computed using the remaining evaluators’ scores only.</w:t>
      </w:r>
    </w:p>
    <w:p>
      <w:pPr>
        <w:pStyle w:val="Heading3"/>
        <w:spacing w:after="160" w:before="280"/>
      </w:pPr>
      <w:r>
        <w:rPr>
          <w:rFonts w:ascii="Garamond" w:cs="Garamond" w:eastAsia="Garamond" w:hAnsi="Garamond"/>
          <w:b/>
          <w:bCs/>
          <w:color w:val="173F35"/>
          <w:sz w:val="26"/>
          <w:szCs w:val="26"/>
        </w:rPr>
        <w:t xml:space="preserve">If the recommended awardee is — or is related to — a Director</w:t>
      </w:r>
    </w:p>
    <w:p>
      <w:pPr>
        <w:spacing w:after="100" w:before="0" w:line="320"/>
        <w:jc w:val="left"/>
      </w:pPr>
      <w:r>
        <w:rPr>
          <w:rFonts w:ascii="Lato" w:cs="Lato" w:eastAsia="Lato" w:hAnsi="Lato"/>
          <w:color w:val="1A1A1A"/>
          <w:sz w:val="22"/>
          <w:szCs w:val="22"/>
        </w:rPr>
        <w:t xml:space="preserve">Stop. Treat the situation as a conflicted-transaction matter under your state’s framework before the Board votes:</w:t>
      </w:r>
    </w:p>
    <w:p>
      <w:pPr>
        <w:pStyle w:val="ListParagraph"/>
        <w:numPr>
          <w:ilvl w:val="0"/>
          <w:numId w:val="2"/>
        </w:numPr>
        <w:spacing w:after="60" w:before="40" w:line="290"/>
      </w:pPr>
      <w:r>
        <w:rPr>
          <w:rFonts w:ascii="Lato" w:cs="Lato" w:eastAsia="Lato" w:hAnsi="Lato"/>
          <w:b/>
          <w:bCs/>
          <w:color w:val="173F35"/>
          <w:sz w:val="22"/>
          <w:szCs w:val="22"/>
        </w:rPr>
        <w:t xml:space="preserve">Florida — </w:t>
      </w:r>
      <w:r>
        <w:rPr>
          <w:rFonts w:ascii="Lato" w:cs="Lato" w:eastAsia="Lato" w:hAnsi="Lato"/>
          <w:color w:val="1A1A1A"/>
          <w:sz w:val="22"/>
          <w:szCs w:val="22"/>
        </w:rPr>
        <w:t xml:space="preserve">Fla. Stat. § 718.3027 (condominium) and § 720.3033 (HOA) prescribe agenda, advance disclosure, supermajority approval, and member-cancellation procedures. The rebuttable presumption of conflict applies in many vendor scenarios involving directors or relatives.</w:t>
      </w:r>
    </w:p>
    <w:p>
      <w:pPr>
        <w:pStyle w:val="ListParagraph"/>
        <w:numPr>
          <w:ilvl w:val="0"/>
          <w:numId w:val="2"/>
        </w:numPr>
        <w:spacing w:after="60" w:before="40" w:line="290"/>
      </w:pPr>
      <w:r>
        <w:rPr>
          <w:rFonts w:ascii="Lato" w:cs="Lato" w:eastAsia="Lato" w:hAnsi="Lato"/>
          <w:b/>
          <w:bCs/>
          <w:color w:val="173F35"/>
          <w:sz w:val="22"/>
          <w:szCs w:val="22"/>
        </w:rPr>
        <w:t xml:space="preserve">Texas — </w:t>
      </w:r>
      <w:r>
        <w:rPr>
          <w:rFonts w:ascii="Lato" w:cs="Lato" w:eastAsia="Lato" w:hAnsi="Lato"/>
          <w:color w:val="1A1A1A"/>
          <w:sz w:val="22"/>
          <w:szCs w:val="22"/>
        </w:rPr>
        <w:t xml:space="preserve">Tex. Bus. Orgs. Code § 22.230 governs contracts and transactions involving interested directors of nonprofit corporations. Most Texas community associations are organized under Chapter 22.</w:t>
      </w:r>
    </w:p>
    <w:p>
      <w:pPr>
        <w:pStyle w:val="ListParagraph"/>
        <w:numPr>
          <w:ilvl w:val="0"/>
          <w:numId w:val="2"/>
        </w:numPr>
        <w:spacing w:after="60" w:before="40" w:line="290"/>
      </w:pPr>
      <w:r>
        <w:rPr>
          <w:rFonts w:ascii="Lato" w:cs="Lato" w:eastAsia="Lato" w:hAnsi="Lato"/>
          <w:b/>
          <w:bCs/>
          <w:color w:val="173F35"/>
          <w:sz w:val="22"/>
          <w:szCs w:val="22"/>
        </w:rPr>
        <w:t xml:space="preserve">Documentation — </w:t>
      </w:r>
      <w:r>
        <w:rPr>
          <w:rFonts w:ascii="Lato" w:cs="Lato" w:eastAsia="Lato" w:hAnsi="Lato"/>
          <w:color w:val="1A1A1A"/>
          <w:sz w:val="22"/>
          <w:szCs w:val="22"/>
        </w:rPr>
        <w:t xml:space="preserve">the Recusal Log, meeting minutes, and Award Recommendation Memo together form the audit trail. Confirm the current effective text of each statute with counsel before the meeting.</w:t>
      </w:r>
    </w:p>
    <w:p>
      <w:r>
        <w:br w:type="page"/>
      </w:r>
    </w:p>
    <w:p>
      <w:pPr>
        <w:spacing w:after="60" w:before="0"/>
      </w:pPr>
      <w:r>
        <w:rPr>
          <w:rFonts w:ascii="Lato" w:cs="Lato" w:eastAsia="Lato" w:hAnsi="Lato"/>
          <w:b/>
          <w:bCs/>
          <w:color w:val="C9A24A"/>
          <w:spacing w:val="100"/>
          <w:sz w:val="16"/>
          <w:szCs w:val="16"/>
        </w:rPr>
        <w:t xml:space="preserve">WRITING THE MEMO</w:t>
      </w:r>
    </w:p>
    <w:p>
      <w:pPr>
        <w:pStyle w:val="Heading1"/>
        <w:spacing w:after="160" w:before="280"/>
      </w:pPr>
      <w:r>
        <w:rPr>
          <w:rFonts w:ascii="Garamond" w:cs="Garamond" w:eastAsia="Garamond" w:hAnsi="Garamond"/>
          <w:b/>
          <w:bCs/>
          <w:color w:val="173F35"/>
          <w:sz w:val="40"/>
          <w:szCs w:val="40"/>
        </w:rPr>
        <w:t xml:space="preserve">How to Write a Defensible Award Memo</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The Award Recommendation Memo (Section 9 of the worksheet) is the document that travels — into the meeting minutes, into the association’s permanent records, and (occasionally) into legal or regulatory inquiry. Three habits make the memo defensible:</w:t>
      </w:r>
    </w:p>
    <w:p>
      <w:pPr>
        <w:pStyle w:val="ListParagraph"/>
        <w:numPr>
          <w:ilvl w:val="0"/>
          <w:numId w:val="2"/>
        </w:numPr>
        <w:spacing w:after="60" w:before="40" w:line="290"/>
      </w:pPr>
      <w:r>
        <w:rPr>
          <w:rFonts w:ascii="Lato" w:cs="Lato" w:eastAsia="Lato" w:hAnsi="Lato"/>
          <w:b/>
          <w:bCs/>
          <w:color w:val="173F35"/>
          <w:sz w:val="22"/>
          <w:szCs w:val="22"/>
        </w:rPr>
        <w:t xml:space="preserve">State the rule, then the result. </w:t>
      </w:r>
      <w:r>
        <w:rPr>
          <w:rFonts w:ascii="Lato" w:cs="Lato" w:eastAsia="Lato" w:hAnsi="Lato"/>
          <w:color w:val="1A1A1A"/>
          <w:sz w:val="22"/>
          <w:szCs w:val="22"/>
        </w:rPr>
        <w:t xml:space="preserve">“The Board recommends award to [Bidder] as the lowest-priced, technically acceptable bidder among proposals that advanced past threshold.” Apply the rule cleanly first; explain departures (if any) afterward.</w:t>
      </w:r>
    </w:p>
    <w:p>
      <w:pPr>
        <w:pStyle w:val="ListParagraph"/>
        <w:numPr>
          <w:ilvl w:val="0"/>
          <w:numId w:val="2"/>
        </w:numPr>
        <w:spacing w:after="60" w:before="40" w:line="290"/>
      </w:pPr>
      <w:r>
        <w:rPr>
          <w:rFonts w:ascii="Lato" w:cs="Lato" w:eastAsia="Lato" w:hAnsi="Lato"/>
          <w:b/>
          <w:bCs/>
          <w:color w:val="173F35"/>
          <w:sz w:val="22"/>
          <w:szCs w:val="22"/>
        </w:rPr>
        <w:t xml:space="preserve">List threshold disqualifications. </w:t>
      </w:r>
      <w:r>
        <w:rPr>
          <w:rFonts w:ascii="Lato" w:cs="Lato" w:eastAsia="Lato" w:hAnsi="Lato"/>
          <w:color w:val="1A1A1A"/>
          <w:sz w:val="22"/>
          <w:szCs w:val="22"/>
        </w:rPr>
        <w:t xml:space="preserve">If a bidder was disqualified at Section 4, name the bidder and the threshold criterion that produced the disqualification. Do not paper over disqualifications; explain them.</w:t>
      </w:r>
    </w:p>
    <w:p>
      <w:pPr>
        <w:pStyle w:val="ListParagraph"/>
        <w:numPr>
          <w:ilvl w:val="0"/>
          <w:numId w:val="2"/>
        </w:numPr>
        <w:spacing w:after="60" w:before="40" w:line="290"/>
      </w:pPr>
      <w:r>
        <w:rPr>
          <w:rFonts w:ascii="Lato" w:cs="Lato" w:eastAsia="Lato" w:hAnsi="Lato"/>
          <w:b/>
          <w:bCs/>
          <w:color w:val="173F35"/>
          <w:sz w:val="22"/>
          <w:szCs w:val="22"/>
        </w:rPr>
        <w:t xml:space="preserve">Disclose conflicts. </w:t>
      </w:r>
      <w:r>
        <w:rPr>
          <w:rFonts w:ascii="Lato" w:cs="Lato" w:eastAsia="Lato" w:hAnsi="Lato"/>
          <w:color w:val="1A1A1A"/>
          <w:sz w:val="22"/>
          <w:szCs w:val="22"/>
        </w:rPr>
        <w:t xml:space="preserve">If any conflict surfaced and was managed under Section 8, say so in the memo, name the procedure followed, and confirm the recusal. Hidden conflicts that surface later destroy more than the contract.</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DEPARTURES FROM THE RULE</w:t>
            </w:r>
          </w:p>
          <w:p>
            <w:pPr>
              <w:spacing w:after="0" w:before="0" w:line="300"/>
              <w:jc w:val="left"/>
            </w:pPr>
            <w:r>
              <w:rPr>
                <w:rFonts w:ascii="Lato" w:cs="Lato" w:eastAsia="Lato" w:hAnsi="Lato"/>
                <w:color w:val="1A1A1A"/>
                <w:sz w:val="22"/>
                <w:szCs w:val="22"/>
              </w:rPr>
              <w:t xml:space="preserve">If the Board awards to a higher-priced bidder, explain the departure in the memo. Acceptable reasons include documented qualitative differences (references, depth of crew, QA program), risk concentration (avoiding sole-source dependency on a single vendor across categories), or a community-specific factor recorded in advance. Unacceptable reasons include personal preference, recent goodwill, and unstated incumbent bias.</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How many evaluators should we use?</w:t>
      </w:r>
    </w:p>
    <w:p>
      <w:pPr>
        <w:spacing w:after="0" w:before="0" w:line="320"/>
        <w:jc w:val="left"/>
      </w:pPr>
      <w:r>
        <w:rPr>
          <w:rFonts w:ascii="Lato" w:cs="Lato" w:eastAsia="Lato" w:hAnsi="Lato"/>
          <w:color w:val="1A1A1A"/>
          <w:sz w:val="22"/>
          <w:szCs w:val="22"/>
        </w:rPr>
        <w:t xml:space="preserve">Two or three. One evaluator produces a single point of view; four or more produces averaging that smooths real differences. Two-to-three evaluators preserves disagreement long enough to be useful, then resolves it through discussion.</w:t>
      </w:r>
    </w:p>
    <w:p>
      <w:pPr>
        <w:spacing w:after="60" w:before="200"/>
      </w:pPr>
      <w:r>
        <w:rPr>
          <w:rFonts w:ascii="Garamond" w:cs="Garamond" w:eastAsia="Garamond" w:hAnsi="Garamond"/>
          <w:b/>
          <w:bCs/>
          <w:color w:val="173F35"/>
          <w:sz w:val="26"/>
          <w:szCs w:val="26"/>
        </w:rPr>
        <w:t xml:space="preserve">What if evaluators disagree by a lot?</w:t>
      </w:r>
    </w:p>
    <w:p>
      <w:pPr>
        <w:spacing w:after="0" w:before="0" w:line="320"/>
        <w:jc w:val="left"/>
      </w:pPr>
      <w:r>
        <w:rPr>
          <w:rFonts w:ascii="Lato" w:cs="Lato" w:eastAsia="Lato" w:hAnsi="Lato"/>
          <w:color w:val="1A1A1A"/>
          <w:sz w:val="22"/>
          <w:szCs w:val="22"/>
        </w:rPr>
        <w:t xml:space="preserve">Discuss any score with a spread greater than two (2) points before averaging. The disagreement usually surfaces a fact one evaluator saw and another did not. Resolve the fact, then re-score.</w:t>
      </w:r>
    </w:p>
    <w:p>
      <w:pPr>
        <w:spacing w:after="60" w:before="200"/>
      </w:pPr>
      <w:r>
        <w:rPr>
          <w:rFonts w:ascii="Garamond" w:cs="Garamond" w:eastAsia="Garamond" w:hAnsi="Garamond"/>
          <w:b/>
          <w:bCs/>
          <w:color w:val="173F35"/>
          <w:sz w:val="26"/>
          <w:szCs w:val="26"/>
        </w:rPr>
        <w:t xml:space="preserve">Can the manager be an evaluator?</w:t>
      </w:r>
    </w:p>
    <w:p>
      <w:pPr>
        <w:spacing w:after="0" w:before="0" w:line="320"/>
        <w:jc w:val="left"/>
      </w:pPr>
      <w:r>
        <w:rPr>
          <w:rFonts w:ascii="Lato" w:cs="Lato" w:eastAsia="Lato" w:hAnsi="Lato"/>
          <w:color w:val="1A1A1A"/>
          <w:sz w:val="22"/>
          <w:szCs w:val="22"/>
        </w:rPr>
        <w:t xml:space="preserve">Yes — and it is generally a good idea. The Manager spends more time with the proposals than any director and has direct experience with comparable contracts. The Board owns the decision; the Manager’s evaluator score is one input.</w:t>
      </w:r>
    </w:p>
    <w:p>
      <w:pPr>
        <w:spacing w:after="60" w:before="200"/>
      </w:pPr>
      <w:r>
        <w:rPr>
          <w:rFonts w:ascii="Garamond" w:cs="Garamond" w:eastAsia="Garamond" w:hAnsi="Garamond"/>
          <w:b/>
          <w:bCs/>
          <w:color w:val="173F35"/>
          <w:sz w:val="26"/>
          <w:szCs w:val="26"/>
        </w:rPr>
        <w:t xml:space="preserve">Do we have to use the default weights?</w:t>
      </w:r>
    </w:p>
    <w:p>
      <w:pPr>
        <w:spacing w:after="0" w:before="0" w:line="320"/>
        <w:jc w:val="left"/>
      </w:pPr>
      <w:r>
        <w:rPr>
          <w:rFonts w:ascii="Lato" w:cs="Lato" w:eastAsia="Lato" w:hAnsi="Lato"/>
          <w:color w:val="1A1A1A"/>
          <w:sz w:val="22"/>
          <w:szCs w:val="22"/>
        </w:rPr>
        <w:t xml:space="preserve">No. The Board may adjust weights to reflect community priorities, with the three constraints described in Section 4 (Setting Weights): adjust before scoring, document the change in the minutes, apply uniformly to every bidder.</w:t>
      </w:r>
    </w:p>
    <w:p>
      <w:pPr>
        <w:spacing w:after="60" w:before="200"/>
      </w:pPr>
      <w:r>
        <w:rPr>
          <w:rFonts w:ascii="Garamond" w:cs="Garamond" w:eastAsia="Garamond" w:hAnsi="Garamond"/>
          <w:b/>
          <w:bCs/>
          <w:color w:val="173F35"/>
          <w:sz w:val="26"/>
          <w:szCs w:val="26"/>
        </w:rPr>
        <w:t xml:space="preserve">What if every bidder scores below 3.5?</w:t>
      </w:r>
    </w:p>
    <w:p>
      <w:pPr>
        <w:spacing w:after="0" w:before="0" w:line="320"/>
        <w:jc w:val="left"/>
      </w:pPr>
      <w:r>
        <w:rPr>
          <w:rFonts w:ascii="Lato" w:cs="Lato" w:eastAsia="Lato" w:hAnsi="Lato"/>
          <w:color w:val="1A1A1A"/>
          <w:sz w:val="22"/>
          <w:szCs w:val="22"/>
        </w:rPr>
        <w:t xml:space="preserve">Reissue the RFP with a wider bidder list and an extended response window. A field of weak proposals is itself a finding — and rebidding is almost always cheaper than living with a weak award.</w:t>
      </w:r>
    </w:p>
    <w:p>
      <w:pPr>
        <w:spacing w:after="60" w:before="200"/>
      </w:pPr>
      <w:r>
        <w:rPr>
          <w:rFonts w:ascii="Garamond" w:cs="Garamond" w:eastAsia="Garamond" w:hAnsi="Garamond"/>
          <w:b/>
          <w:bCs/>
          <w:color w:val="173F35"/>
          <w:sz w:val="26"/>
          <w:szCs w:val="26"/>
        </w:rPr>
        <w:t xml:space="preserve">What if the lowest-priced bidder is also the highest-scored?</w:t>
      </w:r>
    </w:p>
    <w:p>
      <w:pPr>
        <w:spacing w:after="0" w:before="0" w:line="320"/>
        <w:jc w:val="left"/>
      </w:pPr>
      <w:r>
        <w:rPr>
          <w:rFonts w:ascii="Lato" w:cs="Lato" w:eastAsia="Lato" w:hAnsi="Lato"/>
          <w:color w:val="1A1A1A"/>
          <w:sz w:val="22"/>
          <w:szCs w:val="22"/>
        </w:rPr>
        <w:t xml:space="preserve">Award. This is the easy case. Document the result and move on.</w:t>
      </w:r>
    </w:p>
    <w:p>
      <w:pPr>
        <w:spacing w:after="60" w:before="200"/>
      </w:pPr>
      <w:r>
        <w:rPr>
          <w:rFonts w:ascii="Garamond" w:cs="Garamond" w:eastAsia="Garamond" w:hAnsi="Garamond"/>
          <w:b/>
          <w:bCs/>
          <w:color w:val="173F35"/>
          <w:sz w:val="26"/>
          <w:szCs w:val="26"/>
        </w:rPr>
        <w:t xml:space="preserve">What if a bidder’s proposal is incomplete?</w:t>
      </w:r>
    </w:p>
    <w:p>
      <w:pPr>
        <w:spacing w:after="0" w:before="0" w:line="320"/>
        <w:jc w:val="left"/>
      </w:pPr>
      <w:r>
        <w:rPr>
          <w:rFonts w:ascii="Lato" w:cs="Lato" w:eastAsia="Lato" w:hAnsi="Lato"/>
          <w:color w:val="1A1A1A"/>
          <w:sz w:val="22"/>
          <w:szCs w:val="22"/>
        </w:rPr>
        <w:t xml:space="preserve">Threshold disqualification. Do not let bidders fix incomplete proposals after the deadline; the integrity of the process protects every other bidder. The Manager may, in writing, request clarification on minor items, but cannot accept missing pricing or missing forms.</w:t>
      </w:r>
    </w:p>
    <w:p>
      <w:pPr>
        <w:spacing w:after="60" w:before="200"/>
      </w:pPr>
      <w:r>
        <w:rPr>
          <w:rFonts w:ascii="Garamond" w:cs="Garamond" w:eastAsia="Garamond" w:hAnsi="Garamond"/>
          <w:b/>
          <w:bCs/>
          <w:color w:val="173F35"/>
          <w:sz w:val="26"/>
          <w:szCs w:val="26"/>
        </w:rPr>
        <w:t xml:space="preserve">What if a bidder withdraws after award?</w:t>
      </w:r>
    </w:p>
    <w:p>
      <w:pPr>
        <w:spacing w:after="0" w:before="0" w:line="320"/>
        <w:jc w:val="left"/>
      </w:pPr>
      <w:r>
        <w:rPr>
          <w:rFonts w:ascii="Lato" w:cs="Lato" w:eastAsia="Lato" w:hAnsi="Lato"/>
          <w:color w:val="1A1A1A"/>
          <w:sz w:val="22"/>
          <w:szCs w:val="22"/>
        </w:rPr>
        <w:t xml:space="preserve">Award to the next-ranked, technically acceptable bidder, on the original pricing if pricing remains valid. Document the withdrawal and the reassignment in the minutes.</w:t>
      </w:r>
    </w:p>
    <w:p>
      <w:pPr>
        <w:spacing w:after="60" w:before="200"/>
      </w:pPr>
      <w:r>
        <w:rPr>
          <w:rFonts w:ascii="Garamond" w:cs="Garamond" w:eastAsia="Garamond" w:hAnsi="Garamond"/>
          <w:b/>
          <w:bCs/>
          <w:color w:val="173F35"/>
          <w:sz w:val="26"/>
          <w:szCs w:val="26"/>
        </w:rPr>
        <w:t xml:space="preserve">How long do we keep this worksheet?</w:t>
      </w:r>
    </w:p>
    <w:p>
      <w:pPr>
        <w:spacing w:after="0" w:before="0" w:line="320"/>
        <w:jc w:val="left"/>
      </w:pPr>
      <w:r>
        <w:rPr>
          <w:rFonts w:ascii="Lato" w:cs="Lato" w:eastAsia="Lato" w:hAnsi="Lato"/>
          <w:color w:val="1A1A1A"/>
          <w:sz w:val="22"/>
          <w:szCs w:val="22"/>
        </w:rPr>
        <w:t xml:space="preserve">At least seven (7) years, with the corresponding RFP, all proposals received, and the meeting minutes that record the award. Longer if the governing documents or insurance carrier require.</w:t>
      </w:r>
    </w:p>
    <w:p>
      <w:pPr>
        <w:spacing w:after="60" w:before="200"/>
      </w:pPr>
      <w:r>
        <w:rPr>
          <w:rFonts w:ascii="Garamond" w:cs="Garamond" w:eastAsia="Garamond" w:hAnsi="Garamond"/>
          <w:b/>
          <w:bCs/>
          <w:color w:val="173F35"/>
          <w:sz w:val="26"/>
          <w:szCs w:val="26"/>
        </w:rPr>
        <w:t xml:space="preserve">Where can the Board get help?</w:t>
      </w:r>
    </w:p>
    <w:p>
      <w:pPr>
        <w:spacing w:after="0" w:before="0" w:line="320"/>
        <w:jc w:val="left"/>
      </w:pPr>
      <w:r>
        <w:rPr>
          <w:rFonts w:ascii="Lato" w:cs="Lato" w:eastAsia="Lato" w:hAnsi="Lato"/>
          <w:color w:val="1A1A1A"/>
          <w:sz w:val="22"/>
          <w:szCs w:val="22"/>
        </w:rPr>
        <w:t xml:space="preserve">Pair this worksheet with the CIC-SC RFP Tier 1–2 Toolkit, the standalone sample drafts, and your association’s legal counsel. CIC-SC also offers training and template kits for related governance topics.</w:t>
      </w:r>
    </w:p>
    <w:p>
      <w:r>
        <w:br w:type="page"/>
      </w:r>
    </w:p>
    <w:p>
      <w:pPr>
        <w:spacing w:after="60" w:before="0"/>
      </w:pPr>
      <w:r>
        <w:rPr>
          <w:rFonts w:ascii="Lato" w:cs="Lato" w:eastAsia="Lato" w:hAnsi="Lato"/>
          <w:b/>
          <w:bCs/>
          <w:color w:val="C9A24A"/>
          <w:spacing w:val="100"/>
          <w:sz w:val="16"/>
          <w:szCs w:val="16"/>
        </w:rPr>
        <w:t xml:space="preserve">STATE-SPECIFIC GUIDANCE</w:t>
      </w:r>
    </w:p>
    <w:p>
      <w:pPr>
        <w:pStyle w:val="Heading1"/>
        <w:spacing w:after="160" w:before="280"/>
      </w:pPr>
      <w:r>
        <w:rPr>
          <w:rFonts w:ascii="Garamond" w:cs="Garamond" w:eastAsia="Garamond" w:hAnsi="Garamond"/>
          <w:b/>
          <w:bCs/>
          <w:color w:val="173F35"/>
          <w:sz w:val="40"/>
          <w:szCs w:val="40"/>
        </w:rPr>
        <w:t xml:space="preserve">Texas &amp; Florida Considerations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High-level summary. Verify current effective text and amendment status with counsel before relying on any specific provision.</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2"/>
        </w:numPr>
        <w:spacing w:after="60" w:before="40" w:line="290"/>
      </w:pPr>
      <w:r>
        <w:rPr>
          <w:rFonts w:ascii="Lato" w:cs="Lato" w:eastAsia="Lato" w:hAnsi="Lato"/>
          <w:b/>
          <w:bCs/>
          <w:color w:val="173F35"/>
          <w:sz w:val="22"/>
          <w:szCs w:val="22"/>
        </w:rPr>
        <w:t xml:space="preserve">Tex. Prop. Code Ch. 209  </w:t>
      </w:r>
      <w:r>
        <w:rPr>
          <w:rFonts w:ascii="Lato" w:cs="Lato" w:eastAsia="Lato" w:hAnsi="Lato"/>
          <w:color w:val="1A1A1A"/>
          <w:sz w:val="22"/>
          <w:szCs w:val="22"/>
        </w:rPr>
        <w:t xml:space="preserve">(RPOPA) — open-meeting and notice requirements affect how the Board considers and votes on contract awards (§ 209.0051).</w:t>
      </w:r>
    </w:p>
    <w:p>
      <w:pPr>
        <w:pStyle w:val="ListParagraph"/>
        <w:numPr>
          <w:ilvl w:val="0"/>
          <w:numId w:val="2"/>
        </w:numPr>
        <w:spacing w:after="60" w:before="40" w:line="290"/>
      </w:pPr>
      <w:r>
        <w:rPr>
          <w:rFonts w:ascii="Lato" w:cs="Lato" w:eastAsia="Lato" w:hAnsi="Lato"/>
          <w:b/>
          <w:bCs/>
          <w:color w:val="173F35"/>
          <w:sz w:val="22"/>
          <w:szCs w:val="22"/>
        </w:rPr>
        <w:t xml:space="preserve">Tex. Bus. Orgs. Code § 22.230  </w:t>
      </w:r>
      <w:r>
        <w:rPr>
          <w:rFonts w:ascii="Lato" w:cs="Lato" w:eastAsia="Lato" w:hAnsi="Lato"/>
          <w:color w:val="1A1A1A"/>
          <w:sz w:val="22"/>
          <w:szCs w:val="22"/>
        </w:rPr>
        <w:t xml:space="preserve">— governs contracts and transactions involving interested directors, officers, and members of nonprofit corporations.</w:t>
      </w:r>
    </w:p>
    <w:p>
      <w:pPr>
        <w:pStyle w:val="Heading2"/>
        <w:spacing w:after="160" w:before="280"/>
      </w:pPr>
      <w:r>
        <w:rPr>
          <w:rFonts w:ascii="Garamond" w:cs="Garamond" w:eastAsia="Garamond" w:hAnsi="Garamond"/>
          <w:b/>
          <w:bCs/>
          <w:color w:val="173F35"/>
          <w:sz w:val="30"/>
          <w:szCs w:val="30"/>
        </w:rPr>
        <w:t xml:space="preserve">Florida</w:t>
      </w:r>
    </w:p>
    <w:p>
      <w:pPr>
        <w:pStyle w:val="ListParagraph"/>
        <w:numPr>
          <w:ilvl w:val="0"/>
          <w:numId w:val="2"/>
        </w:numPr>
        <w:spacing w:after="60" w:before="40" w:line="290"/>
      </w:pPr>
      <w:r>
        <w:rPr>
          <w:rFonts w:ascii="Lato" w:cs="Lato" w:eastAsia="Lato" w:hAnsi="Lato"/>
          <w:b/>
          <w:bCs/>
          <w:color w:val="173F35"/>
          <w:sz w:val="22"/>
          <w:szCs w:val="22"/>
        </w:rPr>
        <w:t xml:space="preserve">Fla. Stat. § 718.3026  </w:t>
      </w:r>
      <w:r>
        <w:rPr>
          <w:rFonts w:ascii="Lato" w:cs="Lato" w:eastAsia="Lato" w:hAnsi="Lato"/>
          <w:color w:val="1A1A1A"/>
          <w:sz w:val="22"/>
          <w:szCs w:val="22"/>
        </w:rPr>
        <w:t xml:space="preserve">— Contracts for products and services; condominium associations may be required to obtain competitive bids for contracts above a statutory threshold.</w:t>
      </w:r>
    </w:p>
    <w:p>
      <w:pPr>
        <w:pStyle w:val="ListParagraph"/>
        <w:numPr>
          <w:ilvl w:val="0"/>
          <w:numId w:val="2"/>
        </w:numPr>
        <w:spacing w:after="60" w:before="40" w:line="290"/>
      </w:pPr>
      <w:r>
        <w:rPr>
          <w:rFonts w:ascii="Lato" w:cs="Lato" w:eastAsia="Lato" w:hAnsi="Lato"/>
          <w:b/>
          <w:bCs/>
          <w:color w:val="173F35"/>
          <w:sz w:val="22"/>
          <w:szCs w:val="22"/>
        </w:rPr>
        <w:t xml:space="preserve">Fla. Stat. § 718.3027  </w:t>
      </w:r>
      <w:r>
        <w:rPr>
          <w:rFonts w:ascii="Lato" w:cs="Lato" w:eastAsia="Lato" w:hAnsi="Lato"/>
          <w:color w:val="1A1A1A"/>
          <w:sz w:val="22"/>
          <w:szCs w:val="22"/>
        </w:rPr>
        <w:t xml:space="preserve">— condominium director / officer conflicts of interest; rebuttable presumption when a director or relative contracts with the association.</w:t>
      </w:r>
    </w:p>
    <w:p>
      <w:pPr>
        <w:pStyle w:val="ListParagraph"/>
        <w:numPr>
          <w:ilvl w:val="0"/>
          <w:numId w:val="2"/>
        </w:numPr>
        <w:spacing w:after="60" w:before="40" w:line="290"/>
      </w:pPr>
      <w:r>
        <w:rPr>
          <w:rFonts w:ascii="Lato" w:cs="Lato" w:eastAsia="Lato" w:hAnsi="Lato"/>
          <w:b/>
          <w:bCs/>
          <w:color w:val="173F35"/>
          <w:sz w:val="22"/>
          <w:szCs w:val="22"/>
        </w:rPr>
        <w:t xml:space="preserve">Fla. Stat. § 720.3033  </w:t>
      </w:r>
      <w:r>
        <w:rPr>
          <w:rFonts w:ascii="Lato" w:cs="Lato" w:eastAsia="Lato" w:hAnsi="Lato"/>
          <w:color w:val="1A1A1A"/>
          <w:sz w:val="22"/>
          <w:szCs w:val="22"/>
        </w:rPr>
        <w:t xml:space="preserve">— HOA director / officer conflicts of interest; advance disclosure and supermajority approval procedures.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 718.3026 + AWARD MEMO</w:t>
            </w:r>
          </w:p>
          <w:p>
            <w:pPr>
              <w:spacing w:after="0" w:before="0" w:line="300"/>
              <w:jc w:val="left"/>
            </w:pPr>
            <w:r>
              <w:rPr>
                <w:rFonts w:ascii="Lato" w:cs="Lato" w:eastAsia="Lato" w:hAnsi="Lato"/>
                <w:color w:val="1A1A1A"/>
                <w:sz w:val="22"/>
                <w:szCs w:val="22"/>
              </w:rPr>
              <w:t xml:space="preserve">If your association is a Florida condominium and the contract is subject to Fla. Stat. § 718.3026, reference the statute in the Findings section of the Award Memo and confirm with counsel that the bidding process complied with the statutory threshold and exception list as currently in effect.</w:t>
            </w:r>
          </w:p>
        </w:tc>
      </w:tr>
    </w:tbl>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Comparative Proposal Evaluation Worksheet  </w:t>
      </w:r>
      <w:r>
        <w:rPr>
          <w:rFonts w:ascii="Lato" w:cs="Lato" w:eastAsia="Lato" w:hAnsi="Lato"/>
          <w:color w:val="1A1A1A"/>
          <w:sz w:val="22"/>
          <w:szCs w:val="22"/>
        </w:rPr>
        <w:t xml:space="preserve">— the document this guide accompanies.</w:t>
      </w:r>
    </w:p>
    <w:p>
      <w:pPr>
        <w:pStyle w:val="ListParagraph"/>
        <w:numPr>
          <w:ilvl w:val="0"/>
          <w:numId w:val="2"/>
        </w:numPr>
        <w:spacing w:after="60" w:before="40" w:line="290"/>
      </w:pPr>
      <w:r>
        <w:rPr>
          <w:rFonts w:ascii="Lato" w:cs="Lato" w:eastAsia="Lato" w:hAnsi="Lato"/>
          <w:b/>
          <w:bCs/>
          <w:color w:val="173F35"/>
          <w:sz w:val="22"/>
          <w:szCs w:val="22"/>
        </w:rPr>
        <w:t xml:space="preserve">RFP Tier 1/2 Adoption-Ready Template  </w:t>
      </w:r>
      <w:r>
        <w:rPr>
          <w:rFonts w:ascii="Lato" w:cs="Lato" w:eastAsia="Lato" w:hAnsi="Lato"/>
          <w:color w:val="1A1A1A"/>
          <w:sz w:val="22"/>
          <w:szCs w:val="22"/>
        </w:rPr>
        <w:t xml:space="preserve">— Section 5 of the RFP defines the criteria this worksheet operationalizes.</w:t>
      </w:r>
    </w:p>
    <w:p>
      <w:pPr>
        <w:pStyle w:val="ListParagraph"/>
        <w:numPr>
          <w:ilvl w:val="0"/>
          <w:numId w:val="2"/>
        </w:numPr>
        <w:spacing w:after="60" w:before="40" w:line="290"/>
      </w:pPr>
      <w:r>
        <w:rPr>
          <w:rFonts w:ascii="Lato" w:cs="Lato" w:eastAsia="Lato" w:hAnsi="Lato"/>
          <w:b/>
          <w:bCs/>
          <w:color w:val="173F35"/>
          <w:sz w:val="22"/>
          <w:szCs w:val="22"/>
        </w:rPr>
        <w:t xml:space="preserve">Standalone Sample Drafts — </w:t>
      </w:r>
      <w:r>
        <w:rPr>
          <w:rFonts w:ascii="Lato" w:cs="Lato" w:eastAsia="Lato" w:hAnsi="Lato"/>
          <w:color w:val="1A1A1A"/>
          <w:sz w:val="22"/>
          <w:szCs w:val="22"/>
        </w:rPr>
        <w:t xml:space="preserve">Sample Comparative Proposal Evaluation for Landscape (Texas) and for Pool &amp; Spa Service (Florida).</w:t>
      </w:r>
    </w:p>
    <w:p>
      <w:pPr>
        <w:pStyle w:val="ListParagraph"/>
        <w:numPr>
          <w:ilvl w:val="0"/>
          <w:numId w:val="2"/>
        </w:numPr>
        <w:spacing w:after="60" w:before="40" w:line="290"/>
      </w:pPr>
      <w:r>
        <w:rPr>
          <w:rFonts w:ascii="Lato" w:cs="Lato" w:eastAsia="Lato" w:hAnsi="Lato"/>
          <w:b/>
          <w:bCs/>
          <w:color w:val="173F35"/>
          <w:sz w:val="22"/>
          <w:szCs w:val="22"/>
        </w:rPr>
        <w:t xml:space="preserve">Board Code of Ethics — Article 7 (Vendor Relations) </w:t>
      </w:r>
      <w:r>
        <w:rPr>
          <w:rFonts w:ascii="Lato" w:cs="Lato" w:eastAsia="Lato" w:hAnsi="Lato"/>
          <w:color w:val="1A1A1A"/>
          <w:sz w:val="22"/>
          <w:szCs w:val="22"/>
        </w:rPr>
        <w:t xml:space="preserve">and Article 3 (Conflicts of Interest) — apply during the evaluation.</w:t>
      </w:r>
    </w:p>
    <w:p>
      <w:pPr>
        <w:pStyle w:val="ListParagraph"/>
        <w:numPr>
          <w:ilvl w:val="0"/>
          <w:numId w:val="2"/>
        </w:numPr>
        <w:spacing w:after="60" w:before="40" w:line="290"/>
      </w:pPr>
      <w:r>
        <w:rPr>
          <w:rFonts w:ascii="Lato" w:cs="Lato" w:eastAsia="Lato" w:hAnsi="Lato"/>
          <w:b/>
          <w:bCs/>
          <w:color w:val="173F35"/>
          <w:sz w:val="22"/>
          <w:szCs w:val="22"/>
        </w:rPr>
        <w:t xml:space="preserve">Annual Operations Calendar  </w:t>
      </w:r>
      <w:r>
        <w:rPr>
          <w:rFonts w:ascii="Lato" w:cs="Lato" w:eastAsia="Lato" w:hAnsi="Lato"/>
          <w:color w:val="1A1A1A"/>
          <w:sz w:val="22"/>
          <w:szCs w:val="22"/>
        </w:rPr>
        <w:t xml:space="preserve">— anchors the rebid cycle for routine vendor contracts.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governance and operations library, including the Tier 3–4 RFP Toolkit (capital projects and management contracts), quarterly state-specific legislative updates, and live training.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Comparative Proposal Evaluation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Comparative Eval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Proposal Evaluation — Educational Guide</dc:title>
  <dc:creator>Common Interest Community Standards Council (CIC-SC)</dc:creator>
  <dc:description>CIC-SC Vendor Management Toolkit — companion guide.</dc:description>
  <cp:lastModifiedBy>Un-named</cp:lastModifiedBy>
  <cp:revision>1</cp:revision>
  <dcterms:created xsi:type="dcterms:W3CDTF">2026-05-10T21:33:21.635Z</dcterms:created>
  <dcterms:modified xsi:type="dcterms:W3CDTF">2026-05-10T21:33:21.635Z</dcterms:modified>
</cp:coreProperties>
</file>

<file path=docProps/custom.xml><?xml version="1.0" encoding="utf-8"?>
<Properties xmlns="http://schemas.openxmlformats.org/officeDocument/2006/custom-properties" xmlns:vt="http://schemas.openxmlformats.org/officeDocument/2006/docPropsVTypes"/>
</file>