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360" w:hRule="exact"/>
        </w:trPr>
        <w:tc>
          <w:tcPr>
            <w:tcW w:type="dxa" w:w="9360"/>
            <w:tcBorders>
              <w:top w:val="none" w:color="auto" w:sz="0"/>
              <w:left w:val="none" w:color="auto" w:sz="0"/>
              <w:bottom w:val="none" w:color="auto" w:sz="0"/>
              <w:right w:val="none" w:color="auto" w:sz="0"/>
            </w:tcBorders>
            <w:shd w:fill="C9A24A" w:color="auto" w:val="clear"/>
            <w:tcMar>
              <w:top w:type="dxa" w:w="0"/>
              <w:left w:type="dxa" w:w="0"/>
              <w:bottom w:type="dxa" w:w="0"/>
              <w:right w:type="dxa" w:w="0"/>
            </w:tcMar>
          </w:tcPr>
          <w:p>
            <w:r>
              <w:t xml:space="preserve"/>
            </w:r>
          </w:p>
        </w:tc>
      </w:tr>
    </w:tbl>
    <w:p>
      <w:pPr>
        <w:spacing w:after="0" w:before="0"/>
      </w:pPr>
      <w:r>
        <w:rPr>
          <w:sz w:val="2"/>
          <w:szCs w:val="2"/>
        </w:rPr>
        <w:t xml:space="preserve"/>
      </w:r>
    </w:p>
    <w:p>
      <w:pPr>
        <w:spacing w:after="80" w:before="320"/>
        <w:jc w:val="left"/>
      </w:pPr>
      <w:r>
        <w:rPr>
          <w:rFonts w:ascii="Lato" w:cs="Lato" w:eastAsia="Lato" w:hAnsi="Lato"/>
          <w:b/>
          <w:bCs/>
          <w:color w:val="173F35"/>
          <w:spacing w:val="120"/>
          <w:sz w:val="16"/>
          <w:szCs w:val="16"/>
        </w:rPr>
        <w:t xml:space="preserve">COMMON INTEREST COMMUNITY STANDARDS COUNCIL</w:t>
      </w:r>
    </w:p>
    <w:p>
      <w:pPr>
        <w:spacing w:after="60" w:before="0"/>
        <w:jc w:val="left"/>
      </w:pPr>
      <w:r>
        <w:rPr>
          <w:rFonts w:ascii="Lato" w:cs="Lato" w:eastAsia="Lato" w:hAnsi="Lato"/>
          <w:i/>
          <w:iCs/>
          <w:color w:val="5C5C5C"/>
          <w:sz w:val="18"/>
          <w:szCs w:val="18"/>
        </w:rPr>
        <w:t xml:space="preserve">Educational Guide  /  Companion to the Adoption-Ready Template</w:t>
      </w:r>
    </w:p>
    <w:p>
      <w:pPr>
        <w:pBdr>
          <w:bottom w:val="single" w:color="C9A24A" w:sz="12" w:space="1"/>
        </w:pBdr>
        <w:spacing w:after="120" w:before="80"/>
      </w:pPr>
      <w:r>
        <w:t xml:space="preserve"/>
      </w:r>
    </w:p>
    <w:p>
      <w:pPr>
        <w:spacing w:after="240" w:before="1200"/>
        <w:jc w:val="left"/>
      </w:pPr>
      <w:r>
        <w:rPr>
          <w:rFonts w:ascii="Garamond" w:cs="Garamond" w:eastAsia="Garamond" w:hAnsi="Garamond"/>
          <w:color w:val="173F35"/>
          <w:sz w:val="60"/>
          <w:szCs w:val="60"/>
        </w:rPr>
        <w:t xml:space="preserve">The Board</w:t>
      </w:r>
    </w:p>
    <w:p>
      <w:pPr>
        <w:spacing w:after="240" w:before="0"/>
        <w:jc w:val="left"/>
      </w:pPr>
      <w:r>
        <w:rPr>
          <w:rFonts w:ascii="Garamond" w:cs="Garamond" w:eastAsia="Garamond" w:hAnsi="Garamond"/>
          <w:i/>
          <w:iCs/>
          <w:color w:val="173F35"/>
          <w:sz w:val="60"/>
          <w:szCs w:val="60"/>
        </w:rPr>
        <w:t xml:space="preserve">Code of Ethics</w:t>
      </w:r>
    </w:p>
    <w:p>
      <w:pPr>
        <w:spacing w:after="240" w:before="0"/>
        <w:jc w:val="left"/>
      </w:pPr>
      <w:r>
        <w:rPr>
          <w:rFonts w:ascii="Garamond" w:cs="Garamond" w:eastAsia="Garamond" w:hAnsi="Garamond"/>
          <w:i/>
          <w:iCs/>
          <w:color w:val="C9A24A"/>
          <w:sz w:val="30"/>
          <w:szCs w:val="30"/>
        </w:rPr>
        <w:t xml:space="preserve">Educational Guide</w:t>
      </w:r>
    </w:p>
    <w:p>
      <w:pPr>
        <w:spacing w:after="1200" w:before="80"/>
        <w:jc w:val="left"/>
      </w:pPr>
      <w:r>
        <w:rPr>
          <w:rFonts w:ascii="Lato" w:cs="Lato" w:eastAsia="Lato" w:hAnsi="Lato"/>
          <w:color w:val="1A1A1A"/>
          <w:sz w:val="24"/>
          <w:szCs w:val="24"/>
        </w:rPr>
        <w:t xml:space="preserve">What it is, why it matters, how to adopt it, and how to use it well — written for volunteer HOA and condominium boards in Texas and Florida.</w:t>
      </w:r>
    </w:p>
    <w:p>
      <w:pPr>
        <w:pBdr>
          <w:bottom w:val="single" w:color="173F35" w:sz="8" w:space="1"/>
        </w:pBdr>
        <w:spacing w:after="120" w:before="80"/>
      </w:pPr>
      <w:r>
        <w:t xml:space="preserve"/>
      </w:r>
    </w:p>
    <w:p>
      <w:pPr>
        <w:spacing w:after="40" w:before="80"/>
        <w:jc w:val="left"/>
      </w:pPr>
      <w:r>
        <w:rPr>
          <w:rFonts w:ascii="Lato" w:cs="Lato" w:eastAsia="Lato" w:hAnsi="Lato"/>
          <w:b/>
          <w:bCs/>
          <w:color w:val="C9A24A"/>
          <w:spacing w:val="100"/>
          <w:sz w:val="16"/>
          <w:szCs w:val="16"/>
        </w:rPr>
        <w:t xml:space="preserve">RESOURCE TYPE</w:t>
      </w:r>
    </w:p>
    <w:p>
      <w:pPr>
        <w:spacing w:after="200" w:before="0"/>
        <w:jc w:val="left"/>
      </w:pPr>
      <w:r>
        <w:rPr>
          <w:rFonts w:ascii="Lato" w:cs="Lato" w:eastAsia="Lato" w:hAnsi="Lato"/>
          <w:color w:val="1A1A1A"/>
          <w:sz w:val="22"/>
          <w:szCs w:val="22"/>
        </w:rPr>
        <w:t xml:space="preserve">Educational Guide  •  Texas &amp; Florida Applicable</w:t>
      </w:r>
    </w:p>
    <w:p>
      <w:pPr>
        <w:spacing w:after="40" w:before="0"/>
        <w:jc w:val="left"/>
      </w:pPr>
      <w:r>
        <w:rPr>
          <w:rFonts w:ascii="Lato" w:cs="Lato" w:eastAsia="Lato" w:hAnsi="Lato"/>
          <w:b/>
          <w:bCs/>
          <w:color w:val="C9A24A"/>
          <w:spacing w:val="100"/>
          <w:sz w:val="16"/>
          <w:szCs w:val="16"/>
        </w:rPr>
        <w:t xml:space="preserve">PAIRS WITH</w:t>
      </w:r>
    </w:p>
    <w:p>
      <w:pPr>
        <w:spacing w:after="200" w:before="0"/>
        <w:jc w:val="left"/>
      </w:pPr>
      <w:r>
        <w:rPr>
          <w:rFonts w:ascii="Lato" w:cs="Lato" w:eastAsia="Lato" w:hAnsi="Lato"/>
          <w:color w:val="1A1A1A"/>
          <w:sz w:val="22"/>
          <w:szCs w:val="22"/>
        </w:rPr>
        <w:t xml:space="preserve">Board Member Code of Ethics — Adoption-Ready Template (Form Set: Resolution, COI Disclosure, Gift Log, Acknowledgment)</w:t>
      </w:r>
    </w:p>
    <w:p>
      <w:pPr>
        <w:spacing w:after="40" w:before="0"/>
        <w:jc w:val="left"/>
      </w:pPr>
      <w:r>
        <w:rPr>
          <w:rFonts w:ascii="Lato" w:cs="Lato" w:eastAsia="Lato" w:hAnsi="Lato"/>
          <w:b/>
          <w:bCs/>
          <w:color w:val="C9A24A"/>
          <w:spacing w:val="100"/>
          <w:sz w:val="16"/>
          <w:szCs w:val="16"/>
        </w:rPr>
        <w:t xml:space="preserve">PUBLISHED BY</w:t>
      </w:r>
    </w:p>
    <w:p>
      <w:pPr>
        <w:spacing w:after="0" w:before="0"/>
        <w:jc w:val="left"/>
      </w:pPr>
      <w:r>
        <w:rPr>
          <w:rFonts w:ascii="Lato" w:cs="Lato" w:eastAsia="Lato" w:hAnsi="Lato"/>
          <w:b/>
          <w:bCs/>
          <w:color w:val="1A1A1A"/>
          <w:sz w:val="22"/>
          <w:szCs w:val="22"/>
        </w:rPr>
        <w:t xml:space="preserve">Common Interest Community Standards Council  </w:t>
      </w:r>
      <w:r>
        <w:rPr>
          <w:rFonts w:ascii="Lato" w:cs="Lato" w:eastAsia="Lato" w:hAnsi="Lato"/>
          <w:color w:val="173F35"/>
          <w:sz w:val="22"/>
          <w:szCs w:val="22"/>
        </w:rPr>
        <w:t xml:space="preserve">•  CIC-SC.org</w:t>
      </w:r>
    </w:p>
    <w:p>
      <w:r>
        <w:br w:type="page"/>
      </w:r>
    </w:p>
    <w:p>
      <w:pPr>
        <w:sectPr>
          <w:headerReference w:type="default" r:id="rId7"/>
          <w:footerReference w:type="default" r:id="rId8"/>
          <w:pgSz w:w="12240" w:h="15840" w:orient="portrait"/>
          <w:pgMar w:top="0" w:right="1080" w:bottom="720" w:left="1080" w:header="0" w:footer="360" w:gutter="0"/>
          <w:pgNumType/>
          <w:docGrid w:linePitch="360"/>
        </w:sectPr>
      </w:pPr>
    </w:p>
    <w:p>
      <w:pPr>
        <w:spacing w:after="60" w:before="0"/>
      </w:pPr>
      <w:r>
        <w:rPr>
          <w:rFonts w:ascii="Lato" w:cs="Lato" w:eastAsia="Lato" w:hAnsi="Lato"/>
          <w:b/>
          <w:bCs/>
          <w:color w:val="C9A24A"/>
          <w:spacing w:val="100"/>
          <w:sz w:val="16"/>
          <w:szCs w:val="16"/>
        </w:rPr>
        <w:t xml:space="preserve">EXECUTIVE SUMMARY</w:t>
      </w:r>
    </w:p>
    <w:p>
      <w:pPr>
        <w:pStyle w:val="Heading1"/>
        <w:spacing w:after="160" w:before="280"/>
      </w:pPr>
      <w:r>
        <w:rPr>
          <w:rFonts w:ascii="Garamond" w:cs="Garamond" w:eastAsia="Garamond" w:hAnsi="Garamond"/>
          <w:b/>
          <w:bCs/>
          <w:color w:val="173F35"/>
          <w:sz w:val="40"/>
          <w:szCs w:val="40"/>
        </w:rPr>
        <w:t xml:space="preserve">In Brief</w:t>
      </w:r>
    </w:p>
    <w:p>
      <w:pPr>
        <w:pBdr>
          <w:bottom w:val="single" w:color="C9A24A" w:sz="8" w:space="1"/>
        </w:pBdr>
        <w:spacing w:after="120" w:before="80"/>
      </w:pPr>
      <w:r>
        <w:t xml:space="preserve"/>
      </w:r>
    </w:p>
    <w:p>
      <w:pPr>
        <w:spacing w:after="120" w:before="0" w:line="320"/>
        <w:jc w:val="left"/>
      </w:pPr>
      <w:r>
        <w:rPr>
          <w:rFonts w:ascii="Lato" w:cs="Lato" w:eastAsia="Lato" w:hAnsi="Lato"/>
          <w:color w:val="1A1A1A"/>
          <w:sz w:val="22"/>
          <w:szCs w:val="22"/>
        </w:rPr>
        <w:t xml:space="preserve">A board Code of Ethics is the simplest, most powerful governance instrument an association can adopt. It converts the abstract idea of fiduciary duty into specific, observable behavior. It tells volunteer directors what is expected of them, gives the manager a stable rule of decision, protects the association from avoidable disputes, and signals to owners that the board takes its responsibilities seriously.</w:t>
      </w:r>
    </w:p>
    <w:p>
      <w:pPr>
        <w:spacing w:after="200" w:before="0" w:line="320"/>
        <w:jc w:val="left"/>
      </w:pPr>
      <w:r>
        <w:rPr>
          <w:rFonts w:ascii="Lato" w:cs="Lato" w:eastAsia="Lato" w:hAnsi="Lato"/>
          <w:color w:val="1A1A1A"/>
          <w:sz w:val="22"/>
          <w:szCs w:val="22"/>
        </w:rPr>
        <w:t xml:space="preserve">This guide explains what the Code does, why every HOA and condominium board should adopt one, how to walk it through your association, the most common mistakes boards make, and the Texas and Florida statutory framework that surrounds it. It is the companion to the CIC-SC Board Code of Ethics — Adoption-Ready Template.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73F35" w:sz="4"/>
              <w:left w:val="single" w:color="173F35" w:sz="24"/>
              <w:bottom w:val="single" w:color="173F35" w:sz="4"/>
              <w:right w:val="single" w:color="173F35"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IN ONE PARAGRAPH</w:t>
            </w:r>
          </w:p>
          <w:p>
            <w:pPr>
              <w:spacing w:after="0" w:before="0" w:line="300"/>
              <w:jc w:val="left"/>
            </w:pPr>
            <w:r>
              <w:rPr>
                <w:rFonts w:ascii="Lato" w:cs="Lato" w:eastAsia="Lato" w:hAnsi="Lato"/>
                <w:color w:val="1A1A1A"/>
                <w:sz w:val="22"/>
                <w:szCs w:val="22"/>
              </w:rPr>
              <w:t xml:space="preserve">Adopt the Code by board resolution at a properly noticed open meeting. Distribute it to every director, officer, and committee member. Have each one sign the Acknowledgment and complete the Annual Conflict of Interest Disclosure. Re-acknowledge each January. Treat violations promptly and proportionately. That is the practice — the rest of this guide explains why it matters and how to do it well.</w:t>
            </w:r>
          </w:p>
        </w:tc>
      </w:tr>
    </w:tbl>
    <w:p>
      <w:r>
        <w:br w:type="page"/>
      </w:r>
    </w:p>
    <w:p>
      <w:pPr>
        <w:spacing w:after="60" w:before="0"/>
      </w:pPr>
      <w:r>
        <w:rPr>
          <w:rFonts w:ascii="Lato" w:cs="Lato" w:eastAsia="Lato" w:hAnsi="Lato"/>
          <w:b/>
          <w:bCs/>
          <w:color w:val="C9A24A"/>
          <w:spacing w:val="100"/>
          <w:sz w:val="16"/>
          <w:szCs w:val="16"/>
        </w:rPr>
        <w:t xml:space="preserve">WHY THIS MATTERS</w:t>
      </w:r>
    </w:p>
    <w:p>
      <w:pPr>
        <w:pStyle w:val="Heading1"/>
        <w:spacing w:after="160" w:before="280"/>
      </w:pPr>
      <w:r>
        <w:rPr>
          <w:rFonts w:ascii="Garamond" w:cs="Garamond" w:eastAsia="Garamond" w:hAnsi="Garamond"/>
          <w:b/>
          <w:bCs/>
          <w:color w:val="173F35"/>
          <w:sz w:val="40"/>
          <w:szCs w:val="40"/>
        </w:rPr>
        <w:t xml:space="preserve">The Case for a Written Code</w:t>
      </w:r>
    </w:p>
    <w:p>
      <w:pPr>
        <w:pBdr>
          <w:bottom w:val="single" w:color="C9A24A" w:sz="8" w:space="1"/>
        </w:pBdr>
        <w:spacing w:after="120" w:before="80"/>
      </w:pPr>
      <w:r>
        <w:t xml:space="preserve"/>
      </w:r>
    </w:p>
    <w:p>
      <w:pPr>
        <w:spacing w:after="120" w:before="0" w:line="320"/>
        <w:jc w:val="left"/>
      </w:pPr>
      <w:r>
        <w:rPr>
          <w:rFonts w:ascii="Lato" w:cs="Lato" w:eastAsia="Lato" w:hAnsi="Lato"/>
          <w:color w:val="1A1A1A"/>
          <w:sz w:val="22"/>
          <w:szCs w:val="22"/>
        </w:rPr>
        <w:t xml:space="preserve">Volunteer boards are asked to make decisions worth tens or hundreds of thousands of dollars every year — vendor contracts, reserves, insurance, capital projects, dues. They do this in their evenings, on top of full-time jobs, with limited training and almost always without a lawyer in the room. A written Code of Ethics is the single document that protects them most.</w:t>
      </w:r>
    </w:p>
    <w:p>
      <w:pPr>
        <w:pStyle w:val="Heading3"/>
        <w:spacing w:after="160" w:before="280"/>
      </w:pPr>
      <w:r>
        <w:rPr>
          <w:rFonts w:ascii="Garamond" w:cs="Garamond" w:eastAsia="Garamond" w:hAnsi="Garamond"/>
          <w:b/>
          <w:bCs/>
          <w:color w:val="173F35"/>
          <w:sz w:val="26"/>
          <w:szCs w:val="26"/>
        </w:rPr>
        <w:t xml:space="preserve">It clarifies the rules</w:t>
      </w:r>
    </w:p>
    <w:p>
      <w:pPr>
        <w:spacing w:after="120" w:before="0" w:line="320"/>
        <w:jc w:val="left"/>
      </w:pPr>
      <w:r>
        <w:rPr>
          <w:rFonts w:ascii="Lato" w:cs="Lato" w:eastAsia="Lato" w:hAnsi="Lato"/>
          <w:color w:val="1A1A1A"/>
          <w:sz w:val="22"/>
          <w:szCs w:val="22"/>
        </w:rPr>
        <w:t xml:space="preserve">Most director conduct issues are not malicious. They are the result of well-intentioned volunteers operating without a clear, shared standard. A Code of Ethics gives the board a common reference point and removes ambiguity in the moment a question arises.</w:t>
      </w:r>
    </w:p>
    <w:p>
      <w:pPr>
        <w:pStyle w:val="Heading3"/>
        <w:spacing w:after="160" w:before="280"/>
      </w:pPr>
      <w:r>
        <w:rPr>
          <w:rFonts w:ascii="Garamond" w:cs="Garamond" w:eastAsia="Garamond" w:hAnsi="Garamond"/>
          <w:b/>
          <w:bCs/>
          <w:color w:val="173F35"/>
          <w:sz w:val="26"/>
          <w:szCs w:val="26"/>
        </w:rPr>
        <w:t xml:space="preserve">It reduces personal exposure</w:t>
      </w:r>
    </w:p>
    <w:p>
      <w:pPr>
        <w:spacing w:after="120" w:before="0" w:line="320"/>
        <w:jc w:val="left"/>
      </w:pPr>
      <w:r>
        <w:rPr>
          <w:rFonts w:ascii="Lato" w:cs="Lato" w:eastAsia="Lato" w:hAnsi="Lato"/>
          <w:color w:val="1A1A1A"/>
          <w:sz w:val="22"/>
          <w:szCs w:val="22"/>
        </w:rPr>
        <w:t xml:space="preserve">Directors who follow a written Code, document their decisions, and recuse themselves when conflicted are demonstrating exactly the “ordinarily prudent person” standard the law expects. That documented pattern of care is the most important factor in any future dispute or claim.</w:t>
      </w:r>
    </w:p>
    <w:p>
      <w:pPr>
        <w:pStyle w:val="Heading3"/>
        <w:spacing w:after="160" w:before="280"/>
      </w:pPr>
      <w:r>
        <w:rPr>
          <w:rFonts w:ascii="Garamond" w:cs="Garamond" w:eastAsia="Garamond" w:hAnsi="Garamond"/>
          <w:b/>
          <w:bCs/>
          <w:color w:val="173F35"/>
          <w:sz w:val="26"/>
          <w:szCs w:val="26"/>
        </w:rPr>
        <w:t xml:space="preserve">It earns owner trust</w:t>
      </w:r>
    </w:p>
    <w:p>
      <w:pPr>
        <w:spacing w:after="120" w:before="0" w:line="320"/>
        <w:jc w:val="left"/>
      </w:pPr>
      <w:r>
        <w:rPr>
          <w:rFonts w:ascii="Lato" w:cs="Lato" w:eastAsia="Lato" w:hAnsi="Lato"/>
          <w:color w:val="1A1A1A"/>
          <w:sz w:val="22"/>
          <w:szCs w:val="22"/>
        </w:rPr>
        <w:t xml:space="preserve">Owners do not always agree with board decisions, but they will accept a process they perceive as fair. A published Code, executed Acknowledgments, and a public commitment to disclosure dramatically increase the legitimacy of the board’s decisions in the eyes of the membership.</w:t>
      </w:r>
    </w:p>
    <w:p>
      <w:pPr>
        <w:pStyle w:val="Heading3"/>
        <w:spacing w:after="160" w:before="280"/>
      </w:pPr>
      <w:r>
        <w:rPr>
          <w:rFonts w:ascii="Garamond" w:cs="Garamond" w:eastAsia="Garamond" w:hAnsi="Garamond"/>
          <w:b/>
          <w:bCs/>
          <w:color w:val="173F35"/>
          <w:sz w:val="26"/>
          <w:szCs w:val="26"/>
        </w:rPr>
        <w:t xml:space="preserve">It supports the manager</w:t>
      </w:r>
    </w:p>
    <w:p>
      <w:pPr>
        <w:spacing w:after="200" w:before="0" w:line="320"/>
        <w:jc w:val="left"/>
      </w:pPr>
      <w:r>
        <w:rPr>
          <w:rFonts w:ascii="Lato" w:cs="Lato" w:eastAsia="Lato" w:hAnsi="Lato"/>
          <w:color w:val="1A1A1A"/>
          <w:sz w:val="22"/>
          <w:szCs w:val="22"/>
        </w:rPr>
        <w:t xml:space="preserve">Professional managers spend a meaningful share of their time managing director behavior — calls outside of meetings, side communications with vendors, and informal directives. A Code that the board has signed creates a respectful way for the manager to redirect those interactions and keep the association on a single, accountable track.</w:t>
      </w:r>
    </w:p>
    <w:p>
      <w:r>
        <w:br w:type="page"/>
      </w:r>
    </w:p>
    <w:p>
      <w:pPr>
        <w:spacing w:after="60" w:before="0"/>
      </w:pPr>
      <w:r>
        <w:rPr>
          <w:rFonts w:ascii="Lato" w:cs="Lato" w:eastAsia="Lato" w:hAnsi="Lato"/>
          <w:b/>
          <w:bCs/>
          <w:color w:val="C9A24A"/>
          <w:spacing w:val="100"/>
          <w:sz w:val="16"/>
          <w:szCs w:val="16"/>
        </w:rPr>
        <w:t xml:space="preserve">HOW TO ADOPT</w:t>
      </w:r>
    </w:p>
    <w:p>
      <w:pPr>
        <w:pStyle w:val="Heading1"/>
        <w:spacing w:after="160" w:before="280"/>
      </w:pPr>
      <w:r>
        <w:rPr>
          <w:rFonts w:ascii="Garamond" w:cs="Garamond" w:eastAsia="Garamond" w:hAnsi="Garamond"/>
          <w:b/>
          <w:bCs/>
          <w:color w:val="173F35"/>
          <w:sz w:val="40"/>
          <w:szCs w:val="40"/>
        </w:rPr>
        <w:t xml:space="preserve">A Six-Step Adoption Path</w:t>
      </w:r>
    </w:p>
    <w:p>
      <w:pPr>
        <w:pBdr>
          <w:bottom w:val="single" w:color="C9A24A" w:sz="8" w:space="1"/>
        </w:pBdr>
        <w:spacing w:after="120" w:before="80"/>
      </w:pPr>
      <w:r>
        <w:t xml:space="preserve"/>
      </w:r>
    </w:p>
    <w:p>
      <w:pPr>
        <w:spacing w:after="160" w:before="0" w:line="320"/>
        <w:jc w:val="left"/>
      </w:pPr>
      <w:r>
        <w:rPr>
          <w:rFonts w:ascii="Lato" w:cs="Lato" w:eastAsia="Lato" w:hAnsi="Lato"/>
          <w:color w:val="1A1A1A"/>
          <w:sz w:val="22"/>
          <w:szCs w:val="22"/>
        </w:rPr>
        <w:t xml:space="preserve">Use this sequence to take the Code from a draft on the Board President’s desk to a fully adopted, signed, and filed instrument of governance. Every step ties to a specific page of the companion Adoption-Ready Template.</w:t>
      </w:r>
    </w:p>
    <w:p>
      <w:pPr>
        <w:pStyle w:val="ListParagraph"/>
        <w:numPr>
          <w:ilvl w:val="0"/>
          <w:numId w:val="2"/>
        </w:numPr>
        <w:spacing w:after="100" w:before="60" w:line="300"/>
      </w:pPr>
      <w:r>
        <w:rPr>
          <w:rFonts w:ascii="Lato" w:cs="Lato" w:eastAsia="Lato" w:hAnsi="Lato"/>
          <w:color w:val="1A1A1A"/>
          <w:sz w:val="22"/>
          <w:szCs w:val="22"/>
        </w:rPr>
        <w:t xml:space="preserve">Have legal counsel review the template against your association’s Declaration, Bylaws, Articles of Incorporation, and current Texas or Florida statutory law. Pay particular attention to Article 3 (Conflicts of Interest) — disclosure timing and approval thresholds vary by state and change over time.</w:t>
      </w:r>
    </w:p>
    <w:p>
      <w:pPr>
        <w:pStyle w:val="ListParagraph"/>
        <w:numPr>
          <w:ilvl w:val="0"/>
          <w:numId w:val="2"/>
        </w:numPr>
        <w:spacing w:after="100" w:before="60" w:line="300"/>
      </w:pPr>
      <w:r>
        <w:rPr>
          <w:rFonts w:ascii="Lato" w:cs="Lato" w:eastAsia="Lato" w:hAnsi="Lato"/>
          <w:color w:val="1A1A1A"/>
          <w:sz w:val="22"/>
          <w:szCs w:val="22"/>
        </w:rPr>
        <w:t xml:space="preserve">Customize the placeholders. Replace [Association Name], [State], and [Effective Date] throughout. Confirm the signatures on the Resolution match your bylaws’ requirements for board action.</w:t>
      </w:r>
    </w:p>
    <w:p>
      <w:pPr>
        <w:pStyle w:val="ListParagraph"/>
        <w:numPr>
          <w:ilvl w:val="0"/>
          <w:numId w:val="2"/>
        </w:numPr>
        <w:spacing w:after="100" w:before="60" w:line="300"/>
      </w:pPr>
      <w:r>
        <w:rPr>
          <w:rFonts w:ascii="Lato" w:cs="Lato" w:eastAsia="Lato" w:hAnsi="Lato"/>
          <w:color w:val="1A1A1A"/>
          <w:sz w:val="22"/>
          <w:szCs w:val="22"/>
        </w:rPr>
        <w:t xml:space="preserve">Place adoption on the agenda of a properly noticed open board meeting. In Texas, observe the open-meeting and notice requirements of the Property Code; in Florida, the requirements of Chapters 718 and 720.</w:t>
      </w:r>
    </w:p>
    <w:p>
      <w:pPr>
        <w:pStyle w:val="ListParagraph"/>
        <w:numPr>
          <w:ilvl w:val="0"/>
          <w:numId w:val="2"/>
        </w:numPr>
        <w:spacing w:after="100" w:before="60" w:line="300"/>
      </w:pPr>
      <w:r>
        <w:rPr>
          <w:rFonts w:ascii="Lato" w:cs="Lato" w:eastAsia="Lato" w:hAnsi="Lato"/>
          <w:color w:val="1A1A1A"/>
          <w:sz w:val="22"/>
          <w:szCs w:val="22"/>
        </w:rPr>
        <w:t xml:space="preserve">Adopt the Code by motion and recorded vote. The Resolution page is the formal record; reflect the same vote in the meeting minutes. Sign the Resolution page (President and Secretary).</w:t>
      </w:r>
    </w:p>
    <w:p>
      <w:pPr>
        <w:pStyle w:val="ListParagraph"/>
        <w:numPr>
          <w:ilvl w:val="0"/>
          <w:numId w:val="2"/>
        </w:numPr>
        <w:spacing w:after="100" w:before="60" w:line="300"/>
      </w:pPr>
      <w:r>
        <w:rPr>
          <w:rFonts w:ascii="Lato" w:cs="Lato" w:eastAsia="Lato" w:hAnsi="Lato"/>
          <w:color w:val="1A1A1A"/>
          <w:sz w:val="22"/>
          <w:szCs w:val="22"/>
        </w:rPr>
        <w:t xml:space="preserve">Distribute the Code to every director, officer, and committee member. Walk through it at the next regular board meeting or a brief special workshop. Ask each signatory to (a) sign the Acknowledgment and (b) complete the Annual Conflict of Interest Disclosure within 30 days.</w:t>
      </w:r>
    </w:p>
    <w:p>
      <w:pPr>
        <w:pStyle w:val="ListParagraph"/>
        <w:numPr>
          <w:ilvl w:val="0"/>
          <w:numId w:val="2"/>
        </w:numPr>
        <w:spacing w:after="100" w:before="60" w:line="300"/>
      </w:pPr>
      <w:r>
        <w:rPr>
          <w:rFonts w:ascii="Lato" w:cs="Lato" w:eastAsia="Lato" w:hAnsi="Lato"/>
          <w:color w:val="1A1A1A"/>
          <w:sz w:val="22"/>
          <w:szCs w:val="22"/>
        </w:rPr>
        <w:t xml:space="preserve">Calendar an annual re-acknowledgment for the first board meeting of each calendar year. The Secretary maintains executed Acknowledgments and Disclosures with the association’s permanent records.</w:t>
      </w:r>
    </w:p>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A NOTE ON COUNSEL REVIEW</w:t>
            </w:r>
          </w:p>
          <w:p>
            <w:pPr>
              <w:spacing w:after="0" w:before="0" w:line="300"/>
              <w:jc w:val="left"/>
            </w:pPr>
            <w:r>
              <w:rPr>
                <w:rFonts w:ascii="Lato" w:cs="Lato" w:eastAsia="Lato" w:hAnsi="Lato"/>
                <w:color w:val="1A1A1A"/>
                <w:sz w:val="22"/>
                <w:szCs w:val="22"/>
              </w:rPr>
              <w:t xml:space="preserve">This template is a strong starting point but it is not a substitute for review by an attorney who knows your governing documents and current state law. Counsel review is inexpensive insurance — a one-hour engagement is usually enough.</w:t>
            </w:r>
          </w:p>
        </w:tc>
      </w:tr>
    </w:tbl>
    <w:p>
      <w:r>
        <w:br w:type="page"/>
      </w:r>
    </w:p>
    <w:p>
      <w:pPr>
        <w:spacing w:after="60" w:before="0"/>
      </w:pPr>
      <w:r>
        <w:rPr>
          <w:rFonts w:ascii="Lato" w:cs="Lato" w:eastAsia="Lato" w:hAnsi="Lato"/>
          <w:b/>
          <w:bCs/>
          <w:color w:val="C9A24A"/>
          <w:spacing w:val="100"/>
          <w:sz w:val="16"/>
          <w:szCs w:val="16"/>
        </w:rPr>
        <w:t xml:space="preserve">ARTICLE-BY-ARTICLE WALKTHROUGH</w:t>
      </w:r>
    </w:p>
    <w:p>
      <w:pPr>
        <w:pStyle w:val="Heading1"/>
        <w:spacing w:after="160" w:before="280"/>
      </w:pPr>
      <w:r>
        <w:rPr>
          <w:rFonts w:ascii="Garamond" w:cs="Garamond" w:eastAsia="Garamond" w:hAnsi="Garamond"/>
          <w:b/>
          <w:bCs/>
          <w:color w:val="173F35"/>
          <w:sz w:val="40"/>
          <w:szCs w:val="40"/>
        </w:rPr>
        <w:t xml:space="preserve">What Each Article Does</w:t>
      </w:r>
    </w:p>
    <w:p>
      <w:pPr>
        <w:pBdr>
          <w:bottom w:val="single" w:color="C9A24A" w:sz="8" w:space="1"/>
        </w:pBdr>
        <w:spacing w:after="120" w:before="80"/>
      </w:pPr>
      <w:r>
        <w:t xml:space="preserve"/>
      </w:r>
    </w:p>
    <w:p>
      <w:pPr>
        <w:pStyle w:val="Heading3"/>
        <w:spacing w:after="160" w:before="280"/>
      </w:pPr>
      <w:r>
        <w:rPr>
          <w:rFonts w:ascii="Garamond" w:cs="Garamond" w:eastAsia="Garamond" w:hAnsi="Garamond"/>
          <w:b/>
          <w:bCs/>
          <w:color w:val="173F35"/>
          <w:sz w:val="26"/>
          <w:szCs w:val="26"/>
        </w:rPr>
        <w:t xml:space="preserve">Article 1 — Standards of Conduct</w:t>
      </w:r>
    </w:p>
    <w:p>
      <w:pPr>
        <w:spacing w:after="120" w:before="0" w:line="320"/>
        <w:jc w:val="left"/>
      </w:pPr>
      <w:r>
        <w:rPr>
          <w:rFonts w:ascii="Lato" w:cs="Lato" w:eastAsia="Lato" w:hAnsi="Lato"/>
          <w:color w:val="1A1A1A"/>
          <w:sz w:val="22"/>
          <w:szCs w:val="22"/>
        </w:rPr>
        <w:t xml:space="preserve">The umbrella commitment: comply with the governing documents and applicable law, place the association first, conduct yourself professionally, and invest in education. Everything else in the Code is a specific application of these four principles.</w:t>
      </w:r>
    </w:p>
    <w:p>
      <w:pPr>
        <w:pStyle w:val="Heading3"/>
        <w:spacing w:after="160" w:before="280"/>
      </w:pPr>
      <w:r>
        <w:rPr>
          <w:rFonts w:ascii="Garamond" w:cs="Garamond" w:eastAsia="Garamond" w:hAnsi="Garamond"/>
          <w:b/>
          <w:bCs/>
          <w:color w:val="173F35"/>
          <w:sz w:val="26"/>
          <w:szCs w:val="26"/>
        </w:rPr>
        <w:t xml:space="preserve">Article 2 — Fiduciary Duty and Decision-Making</w:t>
      </w:r>
    </w:p>
    <w:p>
      <w:pPr>
        <w:spacing w:after="120" w:before="0" w:line="320"/>
        <w:jc w:val="left"/>
      </w:pPr>
      <w:r>
        <w:rPr>
          <w:rFonts w:ascii="Lato" w:cs="Lato" w:eastAsia="Lato" w:hAnsi="Lato"/>
          <w:color w:val="1A1A1A"/>
          <w:sz w:val="22"/>
          <w:szCs w:val="22"/>
        </w:rPr>
        <w:t xml:space="preserve">Articulates the “ordinarily prudent person” standard, the right to rely on professionals, and the discipline of supporting board decisions in public once a vote has been taken. It also closes the door on individual directors making unilateral commitments.</w:t>
      </w:r>
    </w:p>
    <w:p>
      <w:pPr>
        <w:pStyle w:val="Heading3"/>
        <w:spacing w:after="160" w:before="280"/>
      </w:pPr>
      <w:r>
        <w:rPr>
          <w:rFonts w:ascii="Garamond" w:cs="Garamond" w:eastAsia="Garamond" w:hAnsi="Garamond"/>
          <w:b/>
          <w:bCs/>
          <w:color w:val="173F35"/>
          <w:sz w:val="26"/>
          <w:szCs w:val="26"/>
        </w:rPr>
        <w:t xml:space="preserve">Article 3 — Conflicts of Interest and Disclosure</w:t>
      </w:r>
    </w:p>
    <w:p>
      <w:pPr>
        <w:spacing w:after="120" w:before="0" w:line="320"/>
        <w:jc w:val="left"/>
      </w:pPr>
      <w:r>
        <w:rPr>
          <w:rFonts w:ascii="Lato" w:cs="Lato" w:eastAsia="Lato" w:hAnsi="Lato"/>
          <w:color w:val="1A1A1A"/>
          <w:sz w:val="22"/>
          <w:szCs w:val="22"/>
        </w:rPr>
        <w:t xml:space="preserve">The most important Article. Defines what counts as a conflict, when and how to disclose, and the requirement to recuse. Pair it with the Annual Conflict of Interest Disclosure Form (Form A) and your state’s specific timing and voting rules. In Florida, follow §§ 718.3027 and 720.3033 closely; in Texas, follow Tex. Bus. Orgs. Code § 22.230 and your governing documents.</w:t>
      </w:r>
    </w:p>
    <w:p>
      <w:pPr>
        <w:pStyle w:val="Heading3"/>
        <w:spacing w:after="160" w:before="280"/>
      </w:pPr>
      <w:r>
        <w:rPr>
          <w:rFonts w:ascii="Garamond" w:cs="Garamond" w:eastAsia="Garamond" w:hAnsi="Garamond"/>
          <w:b/>
          <w:bCs/>
          <w:color w:val="173F35"/>
          <w:sz w:val="26"/>
          <w:szCs w:val="26"/>
        </w:rPr>
        <w:t xml:space="preserve">Article 4 — Gifts, Gratuities, and Personal Benefit</w:t>
      </w:r>
    </w:p>
    <w:p>
      <w:pPr>
        <w:spacing w:after="120" w:before="0" w:line="320"/>
        <w:jc w:val="left"/>
      </w:pPr>
      <w:r>
        <w:rPr>
          <w:rFonts w:ascii="Lato" w:cs="Lato" w:eastAsia="Lato" w:hAnsi="Lato"/>
          <w:color w:val="1A1A1A"/>
          <w:sz w:val="22"/>
          <w:szCs w:val="22"/>
        </w:rPr>
        <w:t xml:space="preserve">A bright line on vendor influence. The companion Gift &amp; Hospitality Log (Form B) is the practical tool — record any item of value, route it through the Secretary, and remove the question.</w:t>
      </w:r>
    </w:p>
    <w:p>
      <w:pPr>
        <w:pStyle w:val="Heading3"/>
        <w:spacing w:after="160" w:before="280"/>
      </w:pPr>
      <w:r>
        <w:rPr>
          <w:rFonts w:ascii="Garamond" w:cs="Garamond" w:eastAsia="Garamond" w:hAnsi="Garamond"/>
          <w:b/>
          <w:bCs/>
          <w:color w:val="173F35"/>
          <w:sz w:val="26"/>
          <w:szCs w:val="26"/>
        </w:rPr>
        <w:t xml:space="preserve">Article 5 — Confidentiality and Executive Session</w:t>
      </w:r>
    </w:p>
    <w:p>
      <w:pPr>
        <w:spacing w:after="120" w:before="0" w:line="320"/>
        <w:jc w:val="left"/>
      </w:pPr>
      <w:r>
        <w:rPr>
          <w:rFonts w:ascii="Lato" w:cs="Lato" w:eastAsia="Lato" w:hAnsi="Lato"/>
          <w:color w:val="1A1A1A"/>
          <w:sz w:val="22"/>
          <w:szCs w:val="22"/>
        </w:rPr>
        <w:t xml:space="preserve">Protects the candor of the deliberative process and the privacy of owners, employees, and counsel. Confidentiality survives the end of a director’s term — that point should be emphasized at orientation.</w:t>
      </w:r>
    </w:p>
    <w:p>
      <w:pPr>
        <w:pStyle w:val="Heading3"/>
        <w:spacing w:after="160" w:before="280"/>
      </w:pPr>
      <w:r>
        <w:rPr>
          <w:rFonts w:ascii="Garamond" w:cs="Garamond" w:eastAsia="Garamond" w:hAnsi="Garamond"/>
          <w:b/>
          <w:bCs/>
          <w:color w:val="173F35"/>
          <w:sz w:val="26"/>
          <w:szCs w:val="26"/>
        </w:rPr>
        <w:t xml:space="preserve">Article 6 — Communications and Public Statements</w:t>
      </w:r>
    </w:p>
    <w:p>
      <w:pPr>
        <w:spacing w:after="120" w:before="0" w:line="320"/>
        <w:jc w:val="left"/>
      </w:pPr>
      <w:r>
        <w:rPr>
          <w:rFonts w:ascii="Lato" w:cs="Lato" w:eastAsia="Lato" w:hAnsi="Lato"/>
          <w:color w:val="1A1A1A"/>
          <w:sz w:val="22"/>
          <w:szCs w:val="22"/>
        </w:rPr>
        <w:t xml:space="preserve">Clarifies that only the Board (or its designee) speaks for the association. Individual directors may share their personal views, but they may not characterize a vote, imply Board action, or commit the association.</w:t>
      </w:r>
    </w:p>
    <w:p>
      <w:pPr>
        <w:pStyle w:val="Heading3"/>
        <w:spacing w:after="160" w:before="280"/>
      </w:pPr>
      <w:r>
        <w:rPr>
          <w:rFonts w:ascii="Garamond" w:cs="Garamond" w:eastAsia="Garamond" w:hAnsi="Garamond"/>
          <w:b/>
          <w:bCs/>
          <w:color w:val="173F35"/>
          <w:sz w:val="26"/>
          <w:szCs w:val="26"/>
        </w:rPr>
        <w:t xml:space="preserve">Article 7 — Vendor and Contractor Relations</w:t>
      </w:r>
    </w:p>
    <w:p>
      <w:pPr>
        <w:spacing w:after="120" w:before="0" w:line="320"/>
        <w:jc w:val="left"/>
      </w:pPr>
      <w:r>
        <w:rPr>
          <w:rFonts w:ascii="Lato" w:cs="Lato" w:eastAsia="Lato" w:hAnsi="Lato"/>
          <w:color w:val="1A1A1A"/>
          <w:sz w:val="22"/>
          <w:szCs w:val="22"/>
        </w:rPr>
        <w:t xml:space="preserve">Routes all vendor communication through the manager or the Board, prevents directors from interfering with approved scopes of work, and requires that bid evaluation be fair and documented.</w:t>
      </w:r>
    </w:p>
    <w:p>
      <w:pPr>
        <w:pStyle w:val="Heading3"/>
        <w:spacing w:after="160" w:before="280"/>
      </w:pPr>
      <w:r>
        <w:rPr>
          <w:rFonts w:ascii="Garamond" w:cs="Garamond" w:eastAsia="Garamond" w:hAnsi="Garamond"/>
          <w:b/>
          <w:bCs/>
          <w:color w:val="173F35"/>
          <w:sz w:val="26"/>
          <w:szCs w:val="26"/>
        </w:rPr>
        <w:t xml:space="preserve">Article 8 — Professional Conduct and Anti-Harassment</w:t>
      </w:r>
    </w:p>
    <w:p>
      <w:pPr>
        <w:spacing w:after="120" w:before="0" w:line="320"/>
        <w:jc w:val="left"/>
      </w:pPr>
      <w:r>
        <w:rPr>
          <w:rFonts w:ascii="Lato" w:cs="Lato" w:eastAsia="Lato" w:hAnsi="Lato"/>
          <w:color w:val="1A1A1A"/>
          <w:sz w:val="22"/>
          <w:szCs w:val="22"/>
        </w:rPr>
        <w:t xml:space="preserve">Sets the tone for meetings, electronic communication, and interaction with owners and employees. Disagreement is welcomed; personal attacks, threats, retaliation, and discrimination are not.</w:t>
      </w:r>
    </w:p>
    <w:p>
      <w:pPr>
        <w:pStyle w:val="Heading3"/>
        <w:spacing w:after="160" w:before="280"/>
      </w:pPr>
      <w:r>
        <w:rPr>
          <w:rFonts w:ascii="Garamond" w:cs="Garamond" w:eastAsia="Garamond" w:hAnsi="Garamond"/>
          <w:b/>
          <w:bCs/>
          <w:color w:val="173F35"/>
          <w:sz w:val="26"/>
          <w:szCs w:val="26"/>
        </w:rPr>
        <w:t xml:space="preserve">Article 9 — Continuing Education and Improvement</w:t>
      </w:r>
    </w:p>
    <w:p>
      <w:pPr>
        <w:spacing w:after="120" w:before="0" w:line="320"/>
        <w:jc w:val="left"/>
      </w:pPr>
      <w:r>
        <w:rPr>
          <w:rFonts w:ascii="Lato" w:cs="Lato" w:eastAsia="Lato" w:hAnsi="Lato"/>
          <w:color w:val="1A1A1A"/>
          <w:sz w:val="22"/>
          <w:szCs w:val="22"/>
        </w:rPr>
        <w:t xml:space="preserve">Encourages annual board education and creates a formal channel to share what is learned with fellow directors.</w:t>
      </w:r>
    </w:p>
    <w:p>
      <w:pPr>
        <w:pStyle w:val="Heading3"/>
        <w:spacing w:after="160" w:before="280"/>
      </w:pPr>
      <w:r>
        <w:rPr>
          <w:rFonts w:ascii="Garamond" w:cs="Garamond" w:eastAsia="Garamond" w:hAnsi="Garamond"/>
          <w:b/>
          <w:bCs/>
          <w:color w:val="173F35"/>
          <w:sz w:val="26"/>
          <w:szCs w:val="26"/>
        </w:rPr>
        <w:t xml:space="preserve">Article 10 — Enforcement, Reporting, and Removal</w:t>
      </w:r>
    </w:p>
    <w:p>
      <w:pPr>
        <w:spacing w:after="200" w:before="0" w:line="320"/>
        <w:jc w:val="left"/>
      </w:pPr>
      <w:r>
        <w:rPr>
          <w:rFonts w:ascii="Lato" w:cs="Lato" w:eastAsia="Lato" w:hAnsi="Lato"/>
          <w:color w:val="1A1A1A"/>
          <w:sz w:val="22"/>
          <w:szCs w:val="22"/>
        </w:rPr>
        <w:t xml:space="preserve">Defines how violations are reported and the range of consequences — from censure, to removal from officer or committee position, to referral to the membership or counsel. The Article preserves the rights of members under the governing documents and applicable law.</w:t>
      </w:r>
    </w:p>
    <w:p>
      <w:r>
        <w:br w:type="page"/>
      </w:r>
    </w:p>
    <w:p>
      <w:pPr>
        <w:spacing w:after="60" w:before="0"/>
      </w:pPr>
      <w:r>
        <w:rPr>
          <w:rFonts w:ascii="Lato" w:cs="Lato" w:eastAsia="Lato" w:hAnsi="Lato"/>
          <w:b/>
          <w:bCs/>
          <w:color w:val="C9A24A"/>
          <w:spacing w:val="100"/>
          <w:sz w:val="16"/>
          <w:szCs w:val="16"/>
        </w:rPr>
        <w:t xml:space="preserve">BEST PRACTICES</w:t>
      </w:r>
    </w:p>
    <w:p>
      <w:pPr>
        <w:pStyle w:val="Heading1"/>
        <w:spacing w:after="160" w:before="280"/>
      </w:pPr>
      <w:r>
        <w:rPr>
          <w:rFonts w:ascii="Garamond" w:cs="Garamond" w:eastAsia="Garamond" w:hAnsi="Garamond"/>
          <w:b/>
          <w:bCs/>
          <w:color w:val="173F35"/>
          <w:sz w:val="40"/>
          <w:szCs w:val="40"/>
        </w:rPr>
        <w:t xml:space="preserve">How High-Performing Boards Use This Code</w:t>
      </w:r>
    </w:p>
    <w:p>
      <w:pPr>
        <w:pBdr>
          <w:bottom w:val="single" w:color="C9A24A" w:sz="8" w:space="1"/>
        </w:pBdr>
        <w:spacing w:after="120" w:before="80"/>
      </w:pPr>
      <w:r>
        <w:t xml:space="preserve"/>
      </w:r>
    </w:p>
    <w:p>
      <w:pPr>
        <w:pStyle w:val="ListParagraph"/>
        <w:numPr>
          <w:ilvl w:val="0"/>
          <w:numId w:val="3"/>
        </w:numPr>
        <w:spacing w:after="60" w:before="40" w:line="290"/>
      </w:pPr>
      <w:r>
        <w:rPr>
          <w:rFonts w:ascii="Lato" w:cs="Lato" w:eastAsia="Lato" w:hAnsi="Lato"/>
          <w:b/>
          <w:bCs/>
          <w:color w:val="173F35"/>
          <w:sz w:val="22"/>
          <w:szCs w:val="22"/>
        </w:rPr>
        <w:t xml:space="preserve">Walk through the Code at orientation. </w:t>
      </w:r>
      <w:r>
        <w:rPr>
          <w:rFonts w:ascii="Lato" w:cs="Lato" w:eastAsia="Lato" w:hAnsi="Lato"/>
          <w:color w:val="1A1A1A"/>
          <w:sz w:val="22"/>
          <w:szCs w:val="22"/>
        </w:rPr>
        <w:t xml:space="preserve">Read it together at the first meeting of every term. The conversation matters more than the signature.</w:t>
      </w:r>
    </w:p>
    <w:p>
      <w:pPr>
        <w:pStyle w:val="ListParagraph"/>
        <w:numPr>
          <w:ilvl w:val="0"/>
          <w:numId w:val="3"/>
        </w:numPr>
        <w:spacing w:after="60" w:before="40" w:line="290"/>
      </w:pPr>
      <w:r>
        <w:rPr>
          <w:rFonts w:ascii="Lato" w:cs="Lato" w:eastAsia="Lato" w:hAnsi="Lato"/>
          <w:b/>
          <w:bCs/>
          <w:color w:val="173F35"/>
          <w:sz w:val="22"/>
          <w:szCs w:val="22"/>
        </w:rPr>
        <w:t xml:space="preserve">Calendar the annual disclosure. </w:t>
      </w:r>
      <w:r>
        <w:rPr>
          <w:rFonts w:ascii="Lato" w:cs="Lato" w:eastAsia="Lato" w:hAnsi="Lato"/>
          <w:color w:val="1A1A1A"/>
          <w:sz w:val="22"/>
          <w:szCs w:val="22"/>
        </w:rPr>
        <w:t xml:space="preserve">Make completion of Form A a standing item on the first January meeting agenda. Track completion in the meeting minutes.</w:t>
      </w:r>
    </w:p>
    <w:p>
      <w:pPr>
        <w:pStyle w:val="ListParagraph"/>
        <w:numPr>
          <w:ilvl w:val="0"/>
          <w:numId w:val="3"/>
        </w:numPr>
        <w:spacing w:after="60" w:before="40" w:line="290"/>
      </w:pPr>
      <w:r>
        <w:rPr>
          <w:rFonts w:ascii="Lato" w:cs="Lato" w:eastAsia="Lato" w:hAnsi="Lato"/>
          <w:b/>
          <w:bCs/>
          <w:color w:val="173F35"/>
          <w:sz w:val="22"/>
          <w:szCs w:val="22"/>
        </w:rPr>
        <w:t xml:space="preserve">Use the Gift Log even for the small things. </w:t>
      </w:r>
      <w:r>
        <w:rPr>
          <w:rFonts w:ascii="Lato" w:cs="Lato" w:eastAsia="Lato" w:hAnsi="Lato"/>
          <w:color w:val="1A1A1A"/>
          <w:sz w:val="22"/>
          <w:szCs w:val="22"/>
        </w:rPr>
        <w:t xml:space="preserve">A logged $25 lunch is not a problem; an unlogged one becomes the story.</w:t>
      </w:r>
    </w:p>
    <w:p>
      <w:pPr>
        <w:pStyle w:val="ListParagraph"/>
        <w:numPr>
          <w:ilvl w:val="0"/>
          <w:numId w:val="3"/>
        </w:numPr>
        <w:spacing w:after="60" w:before="40" w:line="290"/>
      </w:pPr>
      <w:r>
        <w:rPr>
          <w:rFonts w:ascii="Lato" w:cs="Lato" w:eastAsia="Lato" w:hAnsi="Lato"/>
          <w:b/>
          <w:bCs/>
          <w:color w:val="173F35"/>
          <w:sz w:val="22"/>
          <w:szCs w:val="22"/>
        </w:rPr>
        <w:t xml:space="preserve">Recuse, then leave the room. </w:t>
      </w:r>
      <w:r>
        <w:rPr>
          <w:rFonts w:ascii="Lato" w:cs="Lato" w:eastAsia="Lato" w:hAnsi="Lato"/>
          <w:color w:val="1A1A1A"/>
          <w:sz w:val="22"/>
          <w:szCs w:val="22"/>
        </w:rPr>
        <w:t xml:space="preserve">When a director recuses on a contract or hearing, they should physically leave the room (or virtual meeting) until the matter is concluded — not simply abstain.</w:t>
      </w:r>
    </w:p>
    <w:p>
      <w:pPr>
        <w:pStyle w:val="ListParagraph"/>
        <w:numPr>
          <w:ilvl w:val="0"/>
          <w:numId w:val="3"/>
        </w:numPr>
        <w:spacing w:after="60" w:before="40" w:line="290"/>
      </w:pPr>
      <w:r>
        <w:rPr>
          <w:rFonts w:ascii="Lato" w:cs="Lato" w:eastAsia="Lato" w:hAnsi="Lato"/>
          <w:b/>
          <w:bCs/>
          <w:color w:val="173F35"/>
          <w:sz w:val="22"/>
          <w:szCs w:val="22"/>
        </w:rPr>
        <w:t xml:space="preserve">Document, document, document. </w:t>
      </w:r>
      <w:r>
        <w:rPr>
          <w:rFonts w:ascii="Lato" w:cs="Lato" w:eastAsia="Lato" w:hAnsi="Lato"/>
          <w:color w:val="1A1A1A"/>
          <w:sz w:val="22"/>
          <w:szCs w:val="22"/>
        </w:rPr>
        <w:t xml:space="preserve">Disclosure language belongs in the meeting minutes, not just the disclosure form. Future-you (or future counsel) will thank present-you.</w:t>
      </w:r>
    </w:p>
    <w:p>
      <w:pPr>
        <w:pStyle w:val="ListParagraph"/>
        <w:numPr>
          <w:ilvl w:val="0"/>
          <w:numId w:val="3"/>
        </w:numPr>
        <w:spacing w:after="60" w:before="40" w:line="290"/>
      </w:pPr>
      <w:r>
        <w:rPr>
          <w:rFonts w:ascii="Lato" w:cs="Lato" w:eastAsia="Lato" w:hAnsi="Lato"/>
          <w:b/>
          <w:bCs/>
          <w:color w:val="173F35"/>
          <w:sz w:val="22"/>
          <w:szCs w:val="22"/>
        </w:rPr>
        <w:t xml:space="preserve">Treat the Code as living. </w:t>
      </w:r>
      <w:r>
        <w:rPr>
          <w:rFonts w:ascii="Lato" w:cs="Lato" w:eastAsia="Lato" w:hAnsi="Lato"/>
          <w:color w:val="1A1A1A"/>
          <w:sz w:val="22"/>
          <w:szCs w:val="22"/>
        </w:rPr>
        <w:t xml:space="preserve">Review it annually. Amend by board resolution as your community grows or as state law changes.</w:t>
      </w:r>
    </w:p>
    <w:p>
      <w:pPr>
        <w:pStyle w:val="ListParagraph"/>
        <w:numPr>
          <w:ilvl w:val="0"/>
          <w:numId w:val="3"/>
        </w:numPr>
        <w:spacing w:after="60" w:before="40" w:line="290"/>
      </w:pPr>
      <w:r>
        <w:rPr>
          <w:rFonts w:ascii="Lato" w:cs="Lato" w:eastAsia="Lato" w:hAnsi="Lato"/>
          <w:b/>
          <w:bCs/>
          <w:color w:val="173F35"/>
          <w:sz w:val="22"/>
          <w:szCs w:val="22"/>
        </w:rPr>
        <w:t xml:space="preserve">Apply the Code uniformly. </w:t>
      </w:r>
      <w:r>
        <w:rPr>
          <w:rFonts w:ascii="Lato" w:cs="Lato" w:eastAsia="Lato" w:hAnsi="Lato"/>
          <w:color w:val="1A1A1A"/>
          <w:sz w:val="22"/>
          <w:szCs w:val="22"/>
        </w:rPr>
        <w:t xml:space="preserve">Selective enforcement is the fastest way to lose its credibility — and to invite a lawsuit.</w:t>
      </w:r>
    </w:p>
    <w:p>
      <w:r>
        <w:br w:type="page"/>
      </w:r>
    </w:p>
    <w:p>
      <w:pPr>
        <w:spacing w:after="60" w:before="0"/>
      </w:pPr>
      <w:r>
        <w:rPr>
          <w:rFonts w:ascii="Lato" w:cs="Lato" w:eastAsia="Lato" w:hAnsi="Lato"/>
          <w:b/>
          <w:bCs/>
          <w:color w:val="C9A24A"/>
          <w:spacing w:val="100"/>
          <w:sz w:val="16"/>
          <w:szCs w:val="16"/>
        </w:rPr>
        <w:t xml:space="preserve">COMMON MISTAKES</w:t>
      </w:r>
    </w:p>
    <w:p>
      <w:pPr>
        <w:pStyle w:val="Heading1"/>
        <w:spacing w:after="160" w:before="280"/>
      </w:pPr>
      <w:r>
        <w:rPr>
          <w:rFonts w:ascii="Garamond" w:cs="Garamond" w:eastAsia="Garamond" w:hAnsi="Garamond"/>
          <w:b/>
          <w:bCs/>
          <w:color w:val="173F35"/>
          <w:sz w:val="40"/>
          <w:szCs w:val="40"/>
        </w:rPr>
        <w:t xml:space="preserve">Pitfalls to Avoid</w:t>
      </w:r>
    </w:p>
    <w:p>
      <w:pPr>
        <w:pBdr>
          <w:bottom w:val="single" w:color="C9A24A" w:sz="8"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MISTAKE 1 — ADOPTING AND FORGETTING</w:t>
            </w:r>
          </w:p>
          <w:p>
            <w:pPr>
              <w:spacing w:after="0" w:before="0" w:line="300"/>
              <w:jc w:val="left"/>
            </w:pPr>
            <w:r>
              <w:rPr>
                <w:rFonts w:ascii="Lato" w:cs="Lato" w:eastAsia="Lato" w:hAnsi="Lato"/>
                <w:color w:val="1A1A1A"/>
                <w:sz w:val="22"/>
                <w:szCs w:val="22"/>
              </w:rPr>
              <w:t xml:space="preserve">A signed Code in a binder no one re-opens is worth less than no Code at all, because it creates the appearance of a standard the board does not actually follow. Build the annual rituals (re-acknowledgment, disclosure, log review) into the calendar.</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MISTAKE 2 — USING A GENERIC TEMPLATE WITHOUT LEGAL REVIEW</w:t>
            </w:r>
          </w:p>
          <w:p>
            <w:pPr>
              <w:spacing w:after="0" w:before="0" w:line="300"/>
              <w:jc w:val="left"/>
            </w:pPr>
            <w:r>
              <w:rPr>
                <w:rFonts w:ascii="Lato" w:cs="Lato" w:eastAsia="Lato" w:hAnsi="Lato"/>
                <w:color w:val="1A1A1A"/>
                <w:sz w:val="22"/>
                <w:szCs w:val="22"/>
              </w:rPr>
              <w:t xml:space="preserve">Statutory text in Texas and Florida shifts often, and the Article 3 disclosure mechanics are highly state-specific. A 60-minute legal review against your governing documents is the cheapest part of the process.</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MISTAKE 3 — CONFUSING RECUSAL WITH ABSTENTION</w:t>
            </w:r>
          </w:p>
          <w:p>
            <w:pPr>
              <w:spacing w:after="0" w:before="0" w:line="300"/>
              <w:jc w:val="left"/>
            </w:pPr>
            <w:r>
              <w:rPr>
                <w:rFonts w:ascii="Lato" w:cs="Lato" w:eastAsia="Lato" w:hAnsi="Lato"/>
                <w:color w:val="1A1A1A"/>
                <w:sz w:val="22"/>
                <w:szCs w:val="22"/>
              </w:rPr>
              <w:t xml:space="preserve">A director who has a conflict should recuse — that is, declare the conflict, not deliberate, not vote, and (in most cases) leave the room. A simple abstention without disclosure does not satisfy the standard, and in Florida creates a presumed conflict.</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MISTAKE 4 — TALKING TO VENDORS OUTSIDE THE CHAIN</w:t>
            </w:r>
          </w:p>
          <w:p>
            <w:pPr>
              <w:spacing w:after="0" w:before="0" w:line="300"/>
              <w:jc w:val="left"/>
            </w:pPr>
            <w:r>
              <w:rPr>
                <w:rFonts w:ascii="Lato" w:cs="Lato" w:eastAsia="Lato" w:hAnsi="Lato"/>
                <w:color w:val="1A1A1A"/>
                <w:sz w:val="22"/>
                <w:szCs w:val="22"/>
              </w:rPr>
              <w:t xml:space="preserve">Side conversations with vendors are the single most common source of director-conduct complaints. Article 7 closes that door — use it.</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MISTAKE 5 — USING SOCIAL MEDIA AS A BOARD MEETING</w:t>
            </w:r>
          </w:p>
          <w:p>
            <w:pPr>
              <w:spacing w:after="0" w:before="0" w:line="300"/>
              <w:jc w:val="left"/>
            </w:pPr>
            <w:r>
              <w:rPr>
                <w:rFonts w:ascii="Lato" w:cs="Lato" w:eastAsia="Lato" w:hAnsi="Lato"/>
                <w:color w:val="1A1A1A"/>
                <w:sz w:val="22"/>
                <w:szCs w:val="22"/>
              </w:rPr>
              <w:t xml:space="preserve">Group texts, private Facebook groups, and director chats can become de facto deliberation outside the open-meeting framework. Treat them with the same caution as the meeting itself, and never substitute them for a properly noticed vote.</w:t>
            </w:r>
          </w:p>
        </w:tc>
      </w:tr>
    </w:tbl>
    <w:p>
      <w:r>
        <w:br w:type="page"/>
      </w:r>
    </w:p>
    <w:p>
      <w:pPr>
        <w:spacing w:after="60" w:before="0"/>
      </w:pPr>
      <w:r>
        <w:rPr>
          <w:rFonts w:ascii="Lato" w:cs="Lato" w:eastAsia="Lato" w:hAnsi="Lato"/>
          <w:b/>
          <w:bCs/>
          <w:color w:val="C9A24A"/>
          <w:spacing w:val="100"/>
          <w:sz w:val="16"/>
          <w:szCs w:val="16"/>
        </w:rPr>
        <w:t xml:space="preserve">FREQUENTLY ASKED QUESTIONS</w:t>
      </w:r>
    </w:p>
    <w:p>
      <w:pPr>
        <w:pStyle w:val="Heading1"/>
        <w:spacing w:after="160" w:before="280"/>
      </w:pPr>
      <w:r>
        <w:rPr>
          <w:rFonts w:ascii="Garamond" w:cs="Garamond" w:eastAsia="Garamond" w:hAnsi="Garamond"/>
          <w:b/>
          <w:bCs/>
          <w:color w:val="173F35"/>
          <w:sz w:val="40"/>
          <w:szCs w:val="40"/>
        </w:rPr>
        <w:t xml:space="preserve">FAQs</w:t>
      </w:r>
    </w:p>
    <w:p>
      <w:pPr>
        <w:pBdr>
          <w:bottom w:val="single" w:color="C9A24A" w:sz="8" w:space="1"/>
        </w:pBdr>
        <w:spacing w:after="120" w:before="80"/>
      </w:pPr>
      <w:r>
        <w:t xml:space="preserve"/>
      </w:r>
    </w:p>
    <w:p>
      <w:pPr>
        <w:spacing w:after="60" w:before="200"/>
      </w:pPr>
      <w:r>
        <w:rPr>
          <w:rFonts w:ascii="Garamond" w:cs="Garamond" w:eastAsia="Garamond" w:hAnsi="Garamond"/>
          <w:b/>
          <w:bCs/>
          <w:color w:val="173F35"/>
          <w:sz w:val="26"/>
          <w:szCs w:val="26"/>
        </w:rPr>
        <w:t xml:space="preserve">Is a Code of Ethics required by law?</w:t>
      </w:r>
    </w:p>
    <w:p>
      <w:pPr>
        <w:spacing w:after="0" w:before="0" w:line="320"/>
        <w:jc w:val="left"/>
      </w:pPr>
      <w:r>
        <w:rPr>
          <w:rFonts w:ascii="Lato" w:cs="Lato" w:eastAsia="Lato" w:hAnsi="Lato"/>
          <w:color w:val="1A1A1A"/>
          <w:sz w:val="22"/>
          <w:szCs w:val="22"/>
        </w:rPr>
        <w:t xml:space="preserve">Neither Texas nor Florida statute mandates a written Code of Ethics for HOAs and condominiums in those exact words. However, both states impose fiduciary duties and conflict-of-interest disclosure obligations on directors, and a written Code is the most efficient way to satisfy and document compliance with those duties. Many associations’ governing documents also require a written code or a similar standard.</w:t>
      </w:r>
    </w:p>
    <w:p>
      <w:pPr>
        <w:spacing w:after="60" w:before="200"/>
      </w:pPr>
      <w:r>
        <w:rPr>
          <w:rFonts w:ascii="Garamond" w:cs="Garamond" w:eastAsia="Garamond" w:hAnsi="Garamond"/>
          <w:b/>
          <w:bCs/>
          <w:color w:val="173F35"/>
          <w:sz w:val="26"/>
          <w:szCs w:val="26"/>
        </w:rPr>
        <w:t xml:space="preserve">Does this replace our Bylaws or Declaration?</w:t>
      </w:r>
    </w:p>
    <w:p>
      <w:pPr>
        <w:spacing w:after="0" w:before="0" w:line="320"/>
        <w:jc w:val="left"/>
      </w:pPr>
      <w:r>
        <w:rPr>
          <w:rFonts w:ascii="Lato" w:cs="Lato" w:eastAsia="Lato" w:hAnsi="Lato"/>
          <w:color w:val="1A1A1A"/>
          <w:sz w:val="22"/>
          <w:szCs w:val="22"/>
        </w:rPr>
        <w:t xml:space="preserve">No. The Code is supplemental. If a provision in the Code conflicts with the Declaration, Bylaws, Articles, or applicable law, those instruments and the law control. The template states this explicitly in the Preamble.</w:t>
      </w:r>
    </w:p>
    <w:p>
      <w:pPr>
        <w:spacing w:after="60" w:before="200"/>
      </w:pPr>
      <w:r>
        <w:rPr>
          <w:rFonts w:ascii="Garamond" w:cs="Garamond" w:eastAsia="Garamond" w:hAnsi="Garamond"/>
          <w:b/>
          <w:bCs/>
          <w:color w:val="173F35"/>
          <w:sz w:val="26"/>
          <w:szCs w:val="26"/>
        </w:rPr>
        <w:t xml:space="preserve">Who needs to sign?</w:t>
      </w:r>
    </w:p>
    <w:p>
      <w:pPr>
        <w:spacing w:after="0" w:before="0" w:line="320"/>
        <w:jc w:val="left"/>
      </w:pPr>
      <w:r>
        <w:rPr>
          <w:rFonts w:ascii="Lato" w:cs="Lato" w:eastAsia="Lato" w:hAnsi="Lato"/>
          <w:color w:val="1A1A1A"/>
          <w:sz w:val="22"/>
          <w:szCs w:val="22"/>
        </w:rPr>
        <w:t xml:space="preserve">Every Director, Officer, and Committee Member. Sign on or before assumption of duties and re-acknowledge annually. The Secretary maintains the executed forms.</w:t>
      </w:r>
    </w:p>
    <w:p>
      <w:pPr>
        <w:spacing w:after="60" w:before="200"/>
      </w:pPr>
      <w:r>
        <w:rPr>
          <w:rFonts w:ascii="Garamond" w:cs="Garamond" w:eastAsia="Garamond" w:hAnsi="Garamond"/>
          <w:b/>
          <w:bCs/>
          <w:color w:val="173F35"/>
          <w:sz w:val="26"/>
          <w:szCs w:val="26"/>
        </w:rPr>
        <w:t xml:space="preserve">What if a director refuses to sign?</w:t>
      </w:r>
    </w:p>
    <w:p>
      <w:pPr>
        <w:spacing w:after="0" w:before="0" w:line="320"/>
        <w:jc w:val="left"/>
      </w:pPr>
      <w:r>
        <w:rPr>
          <w:rFonts w:ascii="Lato" w:cs="Lato" w:eastAsia="Lato" w:hAnsi="Lato"/>
          <w:color w:val="1A1A1A"/>
          <w:sz w:val="22"/>
          <w:szCs w:val="22"/>
        </w:rPr>
        <w:t xml:space="preserve">Refusal to sign is itself a governance issue. Bring the question to the full Board, document the refusal in the minutes, and consult counsel about the implications under your Bylaws (in many associations, signed acknowledgment is a condition of taking or maintaining office).</w:t>
      </w:r>
    </w:p>
    <w:p>
      <w:pPr>
        <w:spacing w:after="60" w:before="200"/>
      </w:pPr>
      <w:r>
        <w:rPr>
          <w:rFonts w:ascii="Garamond" w:cs="Garamond" w:eastAsia="Garamond" w:hAnsi="Garamond"/>
          <w:b/>
          <w:bCs/>
          <w:color w:val="173F35"/>
          <w:sz w:val="26"/>
          <w:szCs w:val="26"/>
        </w:rPr>
        <w:t xml:space="preserve">What is a “conflict of interest,” precisely?</w:t>
      </w:r>
    </w:p>
    <w:p>
      <w:pPr>
        <w:spacing w:after="0" w:before="0" w:line="320"/>
        <w:jc w:val="left"/>
      </w:pPr>
      <w:r>
        <w:rPr>
          <w:rFonts w:ascii="Lato" w:cs="Lato" w:eastAsia="Lato" w:hAnsi="Lato"/>
          <w:color w:val="1A1A1A"/>
          <w:sz w:val="22"/>
          <w:szCs w:val="22"/>
        </w:rPr>
        <w:t xml:space="preserve">Any direct or indirect financial or personal interest, including those of close relatives, that could reasonably be expected to influence a director’s judgment in association business. The Code uses the third-degree-of-consanguinity-or-affinity standard, which aligns with Florida statutory language and is widely accepted in Texas governance practice.</w:t>
      </w:r>
    </w:p>
    <w:p>
      <w:pPr>
        <w:spacing w:after="60" w:before="200"/>
      </w:pPr>
      <w:r>
        <w:rPr>
          <w:rFonts w:ascii="Garamond" w:cs="Garamond" w:eastAsia="Garamond" w:hAnsi="Garamond"/>
          <w:b/>
          <w:bCs/>
          <w:color w:val="173F35"/>
          <w:sz w:val="26"/>
          <w:szCs w:val="26"/>
        </w:rPr>
        <w:t xml:space="preserve">What do we do when a vendor offers something nice?</w:t>
      </w:r>
    </w:p>
    <w:p>
      <w:pPr>
        <w:spacing w:after="0" w:before="0" w:line="320"/>
        <w:jc w:val="left"/>
      </w:pPr>
      <w:r>
        <w:rPr>
          <w:rFonts w:ascii="Lato" w:cs="Lato" w:eastAsia="Lato" w:hAnsi="Lato"/>
          <w:color w:val="1A1A1A"/>
          <w:sz w:val="22"/>
          <w:szCs w:val="22"/>
        </w:rPr>
        <w:t xml:space="preserve">Decline anything beyond modest, in-the-ordinary-course hospitality. If accepted, log it on Form B and disclose it to the Board. If in doubt, return it.</w:t>
      </w:r>
    </w:p>
    <w:p>
      <w:pPr>
        <w:spacing w:after="60" w:before="200"/>
      </w:pPr>
      <w:r>
        <w:rPr>
          <w:rFonts w:ascii="Garamond" w:cs="Garamond" w:eastAsia="Garamond" w:hAnsi="Garamond"/>
          <w:b/>
          <w:bCs/>
          <w:color w:val="173F35"/>
          <w:sz w:val="26"/>
          <w:szCs w:val="26"/>
        </w:rPr>
        <w:t xml:space="preserve">Are emails and texts among directors really regulated by this Code?</w:t>
      </w:r>
    </w:p>
    <w:p>
      <w:pPr>
        <w:spacing w:after="0" w:before="0" w:line="320"/>
        <w:jc w:val="left"/>
      </w:pPr>
      <w:r>
        <w:rPr>
          <w:rFonts w:ascii="Lato" w:cs="Lato" w:eastAsia="Lato" w:hAnsi="Lato"/>
          <w:color w:val="1A1A1A"/>
          <w:sz w:val="22"/>
          <w:szCs w:val="22"/>
        </w:rPr>
        <w:t xml:space="preserve">Yes — to the extent they substitute for deliberation. Group threads about association business should be treated like extensions of the meeting and conducted with the same care. Decisions still need to be made at properly noticed open meetings.</w:t>
      </w:r>
    </w:p>
    <w:p>
      <w:pPr>
        <w:spacing w:after="60" w:before="200"/>
      </w:pPr>
      <w:r>
        <w:rPr>
          <w:rFonts w:ascii="Garamond" w:cs="Garamond" w:eastAsia="Garamond" w:hAnsi="Garamond"/>
          <w:b/>
          <w:bCs/>
          <w:color w:val="173F35"/>
          <w:sz w:val="26"/>
          <w:szCs w:val="26"/>
        </w:rPr>
        <w:t xml:space="preserve">Can the Board remove a director under this Code?</w:t>
      </w:r>
    </w:p>
    <w:p>
      <w:pPr>
        <w:spacing w:after="0" w:before="0" w:line="320"/>
        <w:jc w:val="left"/>
      </w:pPr>
      <w:r>
        <w:rPr>
          <w:rFonts w:ascii="Lato" w:cs="Lato" w:eastAsia="Lato" w:hAnsi="Lato"/>
          <w:color w:val="1A1A1A"/>
          <w:sz w:val="22"/>
          <w:szCs w:val="22"/>
        </w:rPr>
        <w:t xml:space="preserve">The Board can remove a director from an officer or committee position by majority vote. Removal from the Board itself is a member action under the Bylaws and applicable state law.</w:t>
      </w:r>
    </w:p>
    <w:p>
      <w:pPr>
        <w:spacing w:after="60" w:before="200"/>
      </w:pPr>
      <w:r>
        <w:rPr>
          <w:rFonts w:ascii="Garamond" w:cs="Garamond" w:eastAsia="Garamond" w:hAnsi="Garamond"/>
          <w:b/>
          <w:bCs/>
          <w:color w:val="173F35"/>
          <w:sz w:val="26"/>
          <w:szCs w:val="26"/>
        </w:rPr>
        <w:t xml:space="preserve">How often should we review the Code?</w:t>
      </w:r>
    </w:p>
    <w:p>
      <w:pPr>
        <w:spacing w:after="0" w:before="0" w:line="320"/>
        <w:jc w:val="left"/>
      </w:pPr>
      <w:r>
        <w:rPr>
          <w:rFonts w:ascii="Lato" w:cs="Lato" w:eastAsia="Lato" w:hAnsi="Lato"/>
          <w:color w:val="1A1A1A"/>
          <w:sz w:val="22"/>
          <w:szCs w:val="22"/>
        </w:rPr>
        <w:t xml:space="preserve">Annually, at the start of each term. Amend by board resolution as needed.</w:t>
      </w:r>
    </w:p>
    <w:p>
      <w:pPr>
        <w:spacing w:after="60" w:before="200"/>
      </w:pPr>
      <w:r>
        <w:rPr>
          <w:rFonts w:ascii="Garamond" w:cs="Garamond" w:eastAsia="Garamond" w:hAnsi="Garamond"/>
          <w:b/>
          <w:bCs/>
          <w:color w:val="173F35"/>
          <w:sz w:val="26"/>
          <w:szCs w:val="26"/>
        </w:rPr>
        <w:t xml:space="preserve">Where can I get help if my board needs guidance?</w:t>
      </w:r>
    </w:p>
    <w:p>
      <w:pPr>
        <w:spacing w:after="0" w:before="0" w:line="320"/>
        <w:jc w:val="left"/>
      </w:pPr>
      <w:r>
        <w:rPr>
          <w:rFonts w:ascii="Lato" w:cs="Lato" w:eastAsia="Lato" w:hAnsi="Lato"/>
          <w:color w:val="1A1A1A"/>
          <w:sz w:val="22"/>
          <w:szCs w:val="22"/>
        </w:rPr>
        <w:t xml:space="preserve">Pair this guide with the Adoption-Ready Template, your association’s legal counsel, and CIC-SC educational resources. CIC-SC also offers training and template kits for related governance topics.</w:t>
      </w:r>
    </w:p>
    <w:p>
      <w:r>
        <w:br w:type="page"/>
      </w:r>
    </w:p>
    <w:p>
      <w:pPr>
        <w:spacing w:after="60" w:before="0"/>
      </w:pPr>
      <w:r>
        <w:rPr>
          <w:rFonts w:ascii="Lato" w:cs="Lato" w:eastAsia="Lato" w:hAnsi="Lato"/>
          <w:b/>
          <w:bCs/>
          <w:color w:val="C9A24A"/>
          <w:spacing w:val="100"/>
          <w:sz w:val="16"/>
          <w:szCs w:val="16"/>
        </w:rPr>
        <w:t xml:space="preserve">STATE-SPECIFIC GUIDANCE</w:t>
      </w:r>
    </w:p>
    <w:p>
      <w:pPr>
        <w:pStyle w:val="Heading1"/>
        <w:spacing w:after="160" w:before="280"/>
      </w:pPr>
      <w:r>
        <w:rPr>
          <w:rFonts w:ascii="Garamond" w:cs="Garamond" w:eastAsia="Garamond" w:hAnsi="Garamond"/>
          <w:b/>
          <w:bCs/>
          <w:color w:val="173F35"/>
          <w:sz w:val="40"/>
          <w:szCs w:val="40"/>
        </w:rPr>
        <w:t xml:space="preserve">Texas &amp; Florida Considerations</w:t>
      </w:r>
    </w:p>
    <w:p>
      <w:pPr>
        <w:pBdr>
          <w:bottom w:val="single" w:color="C9A24A" w:sz="8" w:space="1"/>
        </w:pBdr>
        <w:spacing w:after="120" w:before="80"/>
      </w:pPr>
      <w:r>
        <w:t xml:space="preserve"/>
      </w:r>
    </w:p>
    <w:p>
      <w:pPr>
        <w:spacing w:after="200" w:before="0" w:line="300"/>
        <w:jc w:val="left"/>
      </w:pPr>
      <w:r>
        <w:rPr>
          <w:rFonts w:ascii="Lato" w:cs="Lato" w:eastAsia="Lato" w:hAnsi="Lato"/>
          <w:i/>
          <w:iCs/>
          <w:color w:val="5C5C5C"/>
          <w:sz w:val="22"/>
          <w:szCs w:val="22"/>
        </w:rPr>
        <w:t xml:space="preserve">Below is a high-level summary. Verify current effective text and amendment status with counsel before relying on any specific provision.</w:t>
      </w:r>
    </w:p>
    <w:p>
      <w:pPr>
        <w:pStyle w:val="Heading2"/>
        <w:spacing w:after="160" w:before="280"/>
      </w:pPr>
      <w:r>
        <w:rPr>
          <w:rFonts w:ascii="Garamond" w:cs="Garamond" w:eastAsia="Garamond" w:hAnsi="Garamond"/>
          <w:b/>
          <w:bCs/>
          <w:color w:val="173F35"/>
          <w:sz w:val="30"/>
          <w:szCs w:val="30"/>
        </w:rPr>
        <w:t xml:space="preserve">Texas</w:t>
      </w:r>
    </w:p>
    <w:p>
      <w:pPr>
        <w:pStyle w:val="ListParagraph"/>
        <w:numPr>
          <w:ilvl w:val="0"/>
          <w:numId w:val="3"/>
        </w:numPr>
        <w:spacing w:after="60" w:before="40" w:line="290"/>
      </w:pPr>
      <w:r>
        <w:rPr>
          <w:rFonts w:ascii="Lato" w:cs="Lato" w:eastAsia="Lato" w:hAnsi="Lato"/>
          <w:b/>
          <w:bCs/>
          <w:color w:val="173F35"/>
          <w:sz w:val="22"/>
          <w:szCs w:val="22"/>
        </w:rPr>
        <w:t xml:space="preserve">Tex. Prop. Code Ch. 209 </w:t>
      </w:r>
      <w:r>
        <w:rPr>
          <w:rFonts w:ascii="Lato" w:cs="Lato" w:eastAsia="Lato" w:hAnsi="Lato"/>
          <w:color w:val="1A1A1A"/>
          <w:sz w:val="22"/>
          <w:szCs w:val="22"/>
        </w:rPr>
        <w:t xml:space="preserve">(Residential Property Owners Protection Act) — meeting and notice requirements; records access; hearings.</w:t>
      </w:r>
    </w:p>
    <w:p>
      <w:pPr>
        <w:pStyle w:val="ListParagraph"/>
        <w:numPr>
          <w:ilvl w:val="0"/>
          <w:numId w:val="3"/>
        </w:numPr>
        <w:spacing w:after="60" w:before="40" w:line="290"/>
      </w:pPr>
      <w:r>
        <w:rPr>
          <w:rFonts w:ascii="Lato" w:cs="Lato" w:eastAsia="Lato" w:hAnsi="Lato"/>
          <w:b/>
          <w:bCs/>
          <w:color w:val="173F35"/>
          <w:sz w:val="22"/>
          <w:szCs w:val="22"/>
        </w:rPr>
        <w:t xml:space="preserve">Tex. Prop. Code Ch. 82 </w:t>
      </w:r>
      <w:r>
        <w:rPr>
          <w:rFonts w:ascii="Lato" w:cs="Lato" w:eastAsia="Lato" w:hAnsi="Lato"/>
          <w:color w:val="1A1A1A"/>
          <w:sz w:val="22"/>
          <w:szCs w:val="22"/>
        </w:rPr>
        <w:t xml:space="preserve">(Uniform Condominium Act) — applies to condos created on or after January 1, 1994.</w:t>
      </w:r>
    </w:p>
    <w:p>
      <w:pPr>
        <w:pStyle w:val="ListParagraph"/>
        <w:numPr>
          <w:ilvl w:val="0"/>
          <w:numId w:val="3"/>
        </w:numPr>
        <w:spacing w:after="60" w:before="40" w:line="290"/>
      </w:pPr>
      <w:r>
        <w:rPr>
          <w:rFonts w:ascii="Lato" w:cs="Lato" w:eastAsia="Lato" w:hAnsi="Lato"/>
          <w:b/>
          <w:bCs/>
          <w:color w:val="173F35"/>
          <w:sz w:val="22"/>
          <w:szCs w:val="22"/>
        </w:rPr>
        <w:t xml:space="preserve">Tex. Bus. Orgs. Code § 22.230 </w:t>
      </w:r>
      <w:r>
        <w:rPr>
          <w:rFonts w:ascii="Lato" w:cs="Lato" w:eastAsia="Lato" w:hAnsi="Lato"/>
          <w:color w:val="1A1A1A"/>
          <w:sz w:val="22"/>
          <w:szCs w:val="22"/>
        </w:rPr>
        <w:t xml:space="preserve">— addresses contracts and transactions involving interested directors, officers, and members of nonprofit corporations. Most Texas community associations are organized under Chapter 22.</w:t>
      </w:r>
    </w:p>
    <w:p>
      <w:pPr>
        <w:pStyle w:val="ListParagraph"/>
        <w:numPr>
          <w:ilvl w:val="0"/>
          <w:numId w:val="3"/>
        </w:numPr>
        <w:spacing w:after="60" w:before="40" w:line="290"/>
      </w:pPr>
      <w:r>
        <w:rPr>
          <w:rFonts w:ascii="Lato" w:cs="Lato" w:eastAsia="Lato" w:hAnsi="Lato"/>
          <w:b/>
          <w:bCs/>
          <w:color w:val="173F35"/>
          <w:sz w:val="22"/>
          <w:szCs w:val="22"/>
        </w:rPr>
        <w:t xml:space="preserve">Tex. Prop. Code § 209.0051 </w:t>
      </w:r>
      <w:r>
        <w:rPr>
          <w:rFonts w:ascii="Lato" w:cs="Lato" w:eastAsia="Lato" w:hAnsi="Lato"/>
          <w:color w:val="1A1A1A"/>
          <w:sz w:val="22"/>
          <w:szCs w:val="22"/>
        </w:rPr>
        <w:t xml:space="preserve">— open-meeting and notice requirements for HOA boards.</w:t>
      </w:r>
    </w:p>
    <w:p>
      <w:pPr>
        <w:spacing w:after="8" w:before="8"/>
      </w:pPr>
      <w:r>
        <w:rPr>
          <w:sz w:val="2"/>
          <w:szCs w:val="2"/>
        </w:rPr>
        <w:t xml:space="preserve"/>
      </w:r>
    </w:p>
    <w:p>
      <w:pPr>
        <w:pStyle w:val="Heading2"/>
        <w:spacing w:after="160" w:before="280"/>
      </w:pPr>
      <w:r>
        <w:rPr>
          <w:rFonts w:ascii="Garamond" w:cs="Garamond" w:eastAsia="Garamond" w:hAnsi="Garamond"/>
          <w:b/>
          <w:bCs/>
          <w:color w:val="173F35"/>
          <w:sz w:val="30"/>
          <w:szCs w:val="30"/>
        </w:rPr>
        <w:t xml:space="preserve">Florida</w:t>
      </w:r>
    </w:p>
    <w:p>
      <w:pPr>
        <w:pStyle w:val="ListParagraph"/>
        <w:numPr>
          <w:ilvl w:val="0"/>
          <w:numId w:val="3"/>
        </w:numPr>
        <w:spacing w:after="60" w:before="40" w:line="290"/>
      </w:pPr>
      <w:r>
        <w:rPr>
          <w:rFonts w:ascii="Lato" w:cs="Lato" w:eastAsia="Lato" w:hAnsi="Lato"/>
          <w:b/>
          <w:bCs/>
          <w:color w:val="173F35"/>
          <w:sz w:val="22"/>
          <w:szCs w:val="22"/>
        </w:rPr>
        <w:t xml:space="preserve">Fla. Stat. § 720.303 </w:t>
      </w:r>
      <w:r>
        <w:rPr>
          <w:rFonts w:ascii="Lato" w:cs="Lato" w:eastAsia="Lato" w:hAnsi="Lato"/>
          <w:color w:val="1A1A1A"/>
          <w:sz w:val="22"/>
          <w:szCs w:val="22"/>
        </w:rPr>
        <w:t xml:space="preserve">— association powers, duties, meetings; foundational to HOA operations.</w:t>
      </w:r>
    </w:p>
    <w:p>
      <w:pPr>
        <w:pStyle w:val="ListParagraph"/>
        <w:numPr>
          <w:ilvl w:val="0"/>
          <w:numId w:val="3"/>
        </w:numPr>
        <w:spacing w:after="60" w:before="40" w:line="290"/>
      </w:pPr>
      <w:r>
        <w:rPr>
          <w:rFonts w:ascii="Lato" w:cs="Lato" w:eastAsia="Lato" w:hAnsi="Lato"/>
          <w:b/>
          <w:bCs/>
          <w:color w:val="173F35"/>
          <w:sz w:val="22"/>
          <w:szCs w:val="22"/>
        </w:rPr>
        <w:t xml:space="preserve">Fla. Stat. § 720.3033 </w:t>
      </w:r>
      <w:r>
        <w:rPr>
          <w:rFonts w:ascii="Lato" w:cs="Lato" w:eastAsia="Lato" w:hAnsi="Lato"/>
          <w:color w:val="1A1A1A"/>
          <w:sz w:val="22"/>
          <w:szCs w:val="22"/>
        </w:rPr>
        <w:t xml:space="preserve">— officers and directors; conflicts of interest. Includes annual disclosure of relationships with developers, advance disclosure of conflict activity, and approval/cancellation procedures for contracts with directors.</w:t>
      </w:r>
    </w:p>
    <w:p>
      <w:pPr>
        <w:pStyle w:val="ListParagraph"/>
        <w:numPr>
          <w:ilvl w:val="0"/>
          <w:numId w:val="3"/>
        </w:numPr>
        <w:spacing w:after="60" w:before="40" w:line="290"/>
      </w:pPr>
      <w:r>
        <w:rPr>
          <w:rFonts w:ascii="Lato" w:cs="Lato" w:eastAsia="Lato" w:hAnsi="Lato"/>
          <w:b/>
          <w:bCs/>
          <w:color w:val="173F35"/>
          <w:sz w:val="22"/>
          <w:szCs w:val="22"/>
        </w:rPr>
        <w:t xml:space="preserve">Fla. Stat. § 718.111 </w:t>
      </w:r>
      <w:r>
        <w:rPr>
          <w:rFonts w:ascii="Lato" w:cs="Lato" w:eastAsia="Lato" w:hAnsi="Lato"/>
          <w:color w:val="1A1A1A"/>
          <w:sz w:val="22"/>
          <w:szCs w:val="22"/>
        </w:rPr>
        <w:t xml:space="preserve">— condominium associations; fiduciary relationship; financial reporting.</w:t>
      </w:r>
    </w:p>
    <w:p>
      <w:pPr>
        <w:pStyle w:val="ListParagraph"/>
        <w:numPr>
          <w:ilvl w:val="0"/>
          <w:numId w:val="3"/>
        </w:numPr>
        <w:spacing w:after="60" w:before="40" w:line="290"/>
      </w:pPr>
      <w:r>
        <w:rPr>
          <w:rFonts w:ascii="Lato" w:cs="Lato" w:eastAsia="Lato" w:hAnsi="Lato"/>
          <w:b/>
          <w:bCs/>
          <w:color w:val="173F35"/>
          <w:sz w:val="22"/>
          <w:szCs w:val="22"/>
        </w:rPr>
        <w:t xml:space="preserve">Fla. Stat. § 718.112 </w:t>
      </w:r>
      <w:r>
        <w:rPr>
          <w:rFonts w:ascii="Lato" w:cs="Lato" w:eastAsia="Lato" w:hAnsi="Lato"/>
          <w:color w:val="1A1A1A"/>
          <w:sz w:val="22"/>
          <w:szCs w:val="22"/>
        </w:rPr>
        <w:t xml:space="preserve">— bylaws; officers and director duties; meeting standards.</w:t>
      </w:r>
    </w:p>
    <w:p>
      <w:pPr>
        <w:pStyle w:val="ListParagraph"/>
        <w:numPr>
          <w:ilvl w:val="0"/>
          <w:numId w:val="3"/>
        </w:numPr>
        <w:spacing w:after="60" w:before="40" w:line="290"/>
      </w:pPr>
      <w:r>
        <w:rPr>
          <w:rFonts w:ascii="Lato" w:cs="Lato" w:eastAsia="Lato" w:hAnsi="Lato"/>
          <w:b/>
          <w:bCs/>
          <w:color w:val="173F35"/>
          <w:sz w:val="22"/>
          <w:szCs w:val="22"/>
        </w:rPr>
        <w:t xml:space="preserve">Fla. Stat. § 718.3027 </w:t>
      </w:r>
      <w:r>
        <w:rPr>
          <w:rFonts w:ascii="Lato" w:cs="Lato" w:eastAsia="Lato" w:hAnsi="Lato"/>
          <w:color w:val="1A1A1A"/>
          <w:sz w:val="22"/>
          <w:szCs w:val="22"/>
        </w:rPr>
        <w:t xml:space="preserve">— conflicts of interest for condominium directors and officers; rebuttable presumption when a director or relative contracts with the association; agenda, disclosure, and supermajority approval requirements; member-cancellation rights.</w:t>
      </w:r>
    </w:p>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73F35" w:sz="4"/>
              <w:left w:val="single" w:color="173F35" w:sz="24"/>
              <w:bottom w:val="single" w:color="173F35" w:sz="4"/>
              <w:right w:val="single" w:color="173F35"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WHY THE LANGUAGE MATTERS IN FLORIDA</w:t>
            </w:r>
          </w:p>
          <w:p>
            <w:pPr>
              <w:spacing w:after="0" w:before="0" w:line="300"/>
              <w:jc w:val="left"/>
            </w:pPr>
            <w:r>
              <w:rPr>
                <w:rFonts w:ascii="Lato" w:cs="Lato" w:eastAsia="Lato" w:hAnsi="Lato"/>
                <w:color w:val="1A1A1A"/>
                <w:sz w:val="22"/>
                <w:szCs w:val="22"/>
              </w:rPr>
              <w:t xml:space="preserve">Florida statute creates a rebuttable presumption of a conflict of interest in many vendor scenarios involving a director or relative. The statute also prescribes specific agenda, disclosure, voting, and member-cancellation procedures. Article 3 of the Code references these procedures, but the Code does not replace them — it surfaces them so the Board does not miss a step.</w:t>
            </w:r>
          </w:p>
        </w:tc>
      </w:tr>
    </w:tbl>
    <w:p>
      <w:r>
        <w:br w:type="page"/>
      </w:r>
    </w:p>
    <w:p>
      <w:pPr>
        <w:spacing w:after="60" w:before="0"/>
      </w:pPr>
      <w:r>
        <w:rPr>
          <w:rFonts w:ascii="Lato" w:cs="Lato" w:eastAsia="Lato" w:hAnsi="Lato"/>
          <w:b/>
          <w:bCs/>
          <w:color w:val="C9A24A"/>
          <w:spacing w:val="100"/>
          <w:sz w:val="16"/>
          <w:szCs w:val="16"/>
        </w:rPr>
        <w:t xml:space="preserve">RELATED RESOURCES</w:t>
      </w:r>
    </w:p>
    <w:p>
      <w:pPr>
        <w:pStyle w:val="Heading1"/>
        <w:spacing w:after="160" w:before="280"/>
      </w:pPr>
      <w:r>
        <w:rPr>
          <w:rFonts w:ascii="Garamond" w:cs="Garamond" w:eastAsia="Garamond" w:hAnsi="Garamond"/>
          <w:b/>
          <w:bCs/>
          <w:color w:val="173F35"/>
          <w:sz w:val="40"/>
          <w:szCs w:val="40"/>
        </w:rPr>
        <w:t xml:space="preserve">From the CIC-SC Library</w:t>
      </w:r>
    </w:p>
    <w:p>
      <w:pPr>
        <w:pBdr>
          <w:bottom w:val="single" w:color="C9A24A" w:sz="8" w:space="1"/>
        </w:pBdr>
        <w:spacing w:after="120" w:before="80"/>
      </w:pPr>
      <w:r>
        <w:t xml:space="preserve"/>
      </w:r>
    </w:p>
    <w:p>
      <w:pPr>
        <w:pStyle w:val="ListParagraph"/>
        <w:numPr>
          <w:ilvl w:val="0"/>
          <w:numId w:val="3"/>
        </w:numPr>
        <w:spacing w:after="60" w:before="40" w:line="290"/>
      </w:pPr>
      <w:r>
        <w:rPr>
          <w:rFonts w:ascii="Lato" w:cs="Lato" w:eastAsia="Lato" w:hAnsi="Lato"/>
          <w:b/>
          <w:bCs/>
          <w:color w:val="173F35"/>
          <w:sz w:val="22"/>
          <w:szCs w:val="22"/>
        </w:rPr>
        <w:t xml:space="preserve">Board Member Code of Ethics — Adoption-Ready Template </w:t>
      </w:r>
      <w:r>
        <w:rPr>
          <w:rFonts w:ascii="Lato" w:cs="Lato" w:eastAsia="Lato" w:hAnsi="Lato"/>
          <w:color w:val="1A1A1A"/>
          <w:sz w:val="22"/>
          <w:szCs w:val="22"/>
        </w:rPr>
        <w:t xml:space="preserve">(the document this guide accompanies).</w:t>
      </w:r>
    </w:p>
    <w:p>
      <w:pPr>
        <w:pStyle w:val="ListParagraph"/>
        <w:numPr>
          <w:ilvl w:val="0"/>
          <w:numId w:val="3"/>
        </w:numPr>
        <w:spacing w:after="60" w:before="40" w:line="290"/>
      </w:pPr>
      <w:r>
        <w:rPr>
          <w:rFonts w:ascii="Lato" w:cs="Lato" w:eastAsia="Lato" w:hAnsi="Lato"/>
          <w:b/>
          <w:bCs/>
          <w:color w:val="173F35"/>
          <w:sz w:val="22"/>
          <w:szCs w:val="22"/>
        </w:rPr>
        <w:t xml:space="preserve">Annual Conflict of Interest Disclosure (Form A) </w:t>
      </w:r>
      <w:r>
        <w:rPr>
          <w:rFonts w:ascii="Lato" w:cs="Lato" w:eastAsia="Lato" w:hAnsi="Lato"/>
          <w:color w:val="1A1A1A"/>
          <w:sz w:val="22"/>
          <w:szCs w:val="22"/>
        </w:rPr>
        <w:t xml:space="preserve">and </w:t>
      </w:r>
      <w:r>
        <w:rPr>
          <w:rFonts w:ascii="Lato" w:cs="Lato" w:eastAsia="Lato" w:hAnsi="Lato"/>
          <w:b/>
          <w:bCs/>
          <w:color w:val="173F35"/>
          <w:sz w:val="22"/>
          <w:szCs w:val="22"/>
        </w:rPr>
        <w:t xml:space="preserve">Gift &amp; Hospitality Log (Form B) </w:t>
      </w:r>
      <w:r>
        <w:rPr>
          <w:rFonts w:ascii="Lato" w:cs="Lato" w:eastAsia="Lato" w:hAnsi="Lato"/>
          <w:color w:val="1A1A1A"/>
          <w:sz w:val="22"/>
          <w:szCs w:val="22"/>
        </w:rPr>
        <w:t xml:space="preserve">— included as Section 4 of the template.</w:t>
      </w:r>
    </w:p>
    <w:p>
      <w:pPr>
        <w:pStyle w:val="ListParagraph"/>
        <w:numPr>
          <w:ilvl w:val="0"/>
          <w:numId w:val="3"/>
        </w:numPr>
        <w:spacing w:after="60" w:before="40" w:line="290"/>
      </w:pPr>
      <w:r>
        <w:rPr>
          <w:rFonts w:ascii="Lato" w:cs="Lato" w:eastAsia="Lato" w:hAnsi="Lato"/>
          <w:b/>
          <w:bCs/>
          <w:color w:val="173F35"/>
          <w:sz w:val="22"/>
          <w:szCs w:val="22"/>
        </w:rPr>
        <w:t xml:space="preserve">Board Member Onboarding Toolkit </w:t>
      </w:r>
      <w:r>
        <w:rPr>
          <w:rFonts w:ascii="Lato" w:cs="Lato" w:eastAsia="Lato" w:hAnsi="Lato"/>
          <w:color w:val="1A1A1A"/>
          <w:sz w:val="22"/>
          <w:szCs w:val="22"/>
        </w:rPr>
        <w:t xml:space="preserve">— forthcoming.</w:t>
      </w:r>
    </w:p>
    <w:p>
      <w:pPr>
        <w:pStyle w:val="ListParagraph"/>
        <w:numPr>
          <w:ilvl w:val="0"/>
          <w:numId w:val="3"/>
        </w:numPr>
        <w:spacing w:after="60" w:before="40" w:line="290"/>
      </w:pPr>
      <w:r>
        <w:rPr>
          <w:rFonts w:ascii="Lato" w:cs="Lato" w:eastAsia="Lato" w:hAnsi="Lato"/>
          <w:b/>
          <w:bCs/>
          <w:color w:val="173F35"/>
          <w:sz w:val="22"/>
          <w:szCs w:val="22"/>
        </w:rPr>
        <w:t xml:space="preserve">Vendor Management &amp; RFP Toolkit </w:t>
      </w:r>
      <w:r>
        <w:rPr>
          <w:rFonts w:ascii="Lato" w:cs="Lato" w:eastAsia="Lato" w:hAnsi="Lato"/>
          <w:color w:val="1A1A1A"/>
          <w:sz w:val="22"/>
          <w:szCs w:val="22"/>
        </w:rPr>
        <w:t xml:space="preserve">— pairs with Article 7 of the Code.</w:t>
      </w:r>
    </w:p>
    <w:p>
      <w:pPr>
        <w:pStyle w:val="ListParagraph"/>
        <w:numPr>
          <w:ilvl w:val="0"/>
          <w:numId w:val="3"/>
        </w:numPr>
        <w:spacing w:after="60" w:before="40" w:line="290"/>
      </w:pPr>
      <w:r>
        <w:rPr>
          <w:rFonts w:ascii="Lato" w:cs="Lato" w:eastAsia="Lato" w:hAnsi="Lato"/>
          <w:b/>
          <w:bCs/>
          <w:color w:val="173F35"/>
          <w:sz w:val="22"/>
          <w:szCs w:val="22"/>
        </w:rPr>
        <w:t xml:space="preserve">Annual Operations Calendar </w:t>
      </w:r>
      <w:r>
        <w:rPr>
          <w:rFonts w:ascii="Lato" w:cs="Lato" w:eastAsia="Lato" w:hAnsi="Lato"/>
          <w:color w:val="1A1A1A"/>
          <w:sz w:val="22"/>
          <w:szCs w:val="22"/>
        </w:rPr>
        <w:t xml:space="preserve">— includes the standing January re-acknowledgment item.</w:t>
      </w:r>
    </w:p>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BECOME A CIC-SC MEMBER</w:t>
            </w:r>
          </w:p>
          <w:p>
            <w:pPr>
              <w:spacing w:after="0" w:before="0" w:line="300"/>
              <w:jc w:val="left"/>
            </w:pPr>
            <w:r>
              <w:rPr>
                <w:rFonts w:ascii="Lato" w:cs="Lato" w:eastAsia="Lato" w:hAnsi="Lato"/>
                <w:color w:val="1A1A1A"/>
                <w:sz w:val="22"/>
                <w:szCs w:val="22"/>
              </w:rPr>
              <w:t xml:space="preserve">Members get full access to the CIC-SC governance library, downloadable branded templates, quarterly state-specific legislative updates, and live training for boards and committees. Visit CIC-SC.org/membership to join.</w:t>
            </w:r>
          </w:p>
        </w:tc>
      </w:tr>
    </w:tbl>
    <w:p>
      <w:r>
        <w:br w:type="page"/>
      </w:r>
    </w:p>
    <w:p>
      <w:pPr>
        <w:spacing w:after="60" w:before="0"/>
      </w:pPr>
      <w:r>
        <w:rPr>
          <w:rFonts w:ascii="Lato" w:cs="Lato" w:eastAsia="Lato" w:hAnsi="Lato"/>
          <w:b/>
          <w:bCs/>
          <w:color w:val="C9A24A"/>
          <w:spacing w:val="100"/>
          <w:sz w:val="16"/>
          <w:szCs w:val="16"/>
        </w:rPr>
        <w:t xml:space="preserve">DISCLAIMER</w:t>
      </w:r>
    </w:p>
    <w:p>
      <w:pPr>
        <w:pStyle w:val="Heading2"/>
        <w:spacing w:after="160" w:before="280"/>
      </w:pPr>
      <w:r>
        <w:rPr>
          <w:rFonts w:ascii="Garamond" w:cs="Garamond" w:eastAsia="Garamond" w:hAnsi="Garamond"/>
          <w:b/>
          <w:bCs/>
          <w:color w:val="173F35"/>
          <w:sz w:val="30"/>
          <w:szCs w:val="30"/>
        </w:rPr>
        <w:t xml:space="preserve">CIC-SC Disclaimer</w:t>
      </w:r>
    </w:p>
    <w:p>
      <w:pPr>
        <w:pBdr>
          <w:bottom w:val="single" w:color="C9A24A" w:sz="8" w:space="1"/>
        </w:pBdr>
        <w:spacing w:after="120" w:before="80"/>
      </w:pPr>
      <w:r>
        <w:t xml:space="preserve"/>
      </w:r>
    </w:p>
    <w:p>
      <w:pPr>
        <w:spacing w:after="200" w:before="0" w:line="280"/>
        <w:jc w:val="left"/>
      </w:pPr>
      <w:r>
        <w:rPr>
          <w:rFonts w:ascii="Lato" w:cs="Lato" w:eastAsia="Lato" w:hAnsi="Lato"/>
          <w:color w:val="5C5C5C"/>
          <w:sz w:val="18"/>
          <w:szCs w:val="18"/>
        </w:rPr>
        <w:t xml:space="preserve">This resource is provided by the Common Interest Community Standards Council (CIC-SC) for general educational and informational purposes only. Community association laws and requirements vary by state and may change over time. This material is not legal, financial, insurance, reserve, or professional management advice and should not be relied upon as a substitute for consulting qualified professionals familiar with your specific circumstances and jurisdiction. While CIC-SC strives for accuracy and relevance, no guarantee is made regarding completeness, accuracy, or compliance with applicable laws.</w:t>
      </w:r>
    </w:p>
    <w:p>
      <w:pPr>
        <w:spacing w:after="40" w:before="0" w:line="300"/>
        <w:jc w:val="left"/>
      </w:pPr>
      <w:r>
        <w:rPr>
          <w:rFonts w:ascii="Lato" w:cs="Lato" w:eastAsia="Lato" w:hAnsi="Lato"/>
          <w:b/>
          <w:bCs/>
          <w:color w:val="173F35"/>
          <w:sz w:val="18"/>
          <w:szCs w:val="18"/>
        </w:rPr>
        <w:t xml:space="preserve">© Common Interest Community Standards Council (CIC-SC)</w:t>
      </w:r>
    </w:p>
    <w:p>
      <w:pPr>
        <w:spacing w:after="0" w:before="0" w:line="300"/>
        <w:jc w:val="left"/>
      </w:pPr>
      <w:r>
        <w:rPr>
          <w:rFonts w:ascii="Lato" w:cs="Lato" w:eastAsia="Lato" w:hAnsi="Lato"/>
          <w:b/>
          <w:bCs/>
          <w:color w:val="C9A24A"/>
          <w:sz w:val="18"/>
          <w:szCs w:val="18"/>
        </w:rPr>
        <w:t xml:space="preserve">CIC-SC.org</w:t>
      </w:r>
    </w:p>
    <w:sectPr>
      <w:headerReference w:type="default" r:id="rId9"/>
      <w:footerReference w:type="default" r:id="rId10"/>
      <w:pgSz w:w="12240" w:h="15840" w:orient="portrait"/>
      <w:pgMar w:top="1080" w:right="1440" w:bottom="1296" w:left="1440" w:header="540" w:footer="54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73F35" w:sz="6" w:space="6"/>
      </w:pBdr>
      <w:spacing w:after="80" w:before="60"/>
    </w:pPr>
    <w:r>
      <w:t xml:space="preserve"/>
    </w:r>
  </w:p>
  <w:p>
    <w:pPr>
      <w:tabs>
        <w:tab w:val="center" w:pos="4680"/>
        <w:tab w:val="right" w:pos="9026"/>
      </w:tabs>
      <w:spacing w:after="60" w:before="0"/>
    </w:pPr>
    <w:r>
      <w:rPr>
        <w:rFonts w:ascii="Lato" w:cs="Lato" w:eastAsia="Lato" w:hAnsi="Lato"/>
        <w:b/>
        <w:bCs/>
        <w:color w:val="173F35"/>
        <w:sz w:val="16"/>
        <w:szCs w:val="16"/>
      </w:rPr>
      <w:t xml:space="preserve">CIC-SC.org</w:t>
    </w:r>
    <w:r>
      <w:t xml:space="preserve">	</w:t>
    </w:r>
    <w:r>
      <w:rPr>
        <w:rFonts w:ascii="Lato" w:cs="Lato" w:eastAsia="Lato" w:hAnsi="Lato"/>
        <w:i/>
        <w:iCs/>
        <w:color w:val="5C5C5C"/>
        <w:sz w:val="16"/>
        <w:szCs w:val="16"/>
      </w:rPr>
      <w:t xml:space="preserve">Code of Ethics  •  Educational Guide</w:t>
    </w:r>
    <w:r>
      <w:t xml:space="preserve">	</w:t>
    </w:r>
    <w:r>
      <w:rPr>
        <w:rFonts w:ascii="Lato" w:cs="Lato" w:eastAsia="Lato" w:hAnsi="Lato"/>
        <w:color w:val="5C5C5C"/>
        <w:sz w:val="16"/>
        <w:szCs w:val="16"/>
      </w:rPr>
      <w:t xml:space="preserve">Page </w:t>
    </w:r>
    <w:r>
      <w:rPr>
        <w:rFonts w:ascii="Lato" w:cs="Lato" w:eastAsia="Lato" w:hAnsi="Lato"/>
        <w:b/>
        <w:bCs/>
        <w:color w:val="173F35"/>
        <w:sz w:val="16"/>
        <w:szCs w:val="16"/>
      </w:rPr>
      <w:fldChar w:fldCharType="begin"/>
      <w:instrText xml:space="preserve">PAGE</w:instrText>
      <w:fldChar w:fldCharType="separate"/>
      <w:fldChar w:fldCharType="end"/>
    </w:r>
    <w:r>
      <w:rPr>
        <w:rFonts w:ascii="Lato" w:cs="Lato" w:eastAsia="Lato" w:hAnsi="Lato"/>
        <w:color w:val="5C5C5C"/>
        <w:sz w:val="16"/>
        <w:szCs w:val="16"/>
      </w:rPr>
      <w:t xml:space="preserve"> / </w:t>
    </w:r>
    <w:r>
      <w:rPr>
        <w:rFonts w:ascii="Lato" w:cs="Lato" w:eastAsia="Lato" w:hAnsi="Lato"/>
        <w:color w:val="5C5C5C"/>
        <w:sz w:val="16"/>
        <w:szCs w:val="16"/>
      </w:rPr>
      <w:fldChar w:fldCharType="begin"/>
      <w:instrText xml:space="preserve">NUMPAGES</w:instrText>
      <w:fldChar w:fldCharType="separate"/>
      <w:fldChar w:fldCharType="end"/>
    </w:r>
  </w:p>
  <w:p>
    <w:pPr>
      <w:spacing w:after="0" w:before="0"/>
    </w:pPr>
    <w:r>
      <w:rPr>
        <w:rFonts w:ascii="Lato" w:cs="Lato" w:eastAsia="Lato" w:hAnsi="Lato"/>
        <w:i/>
        <w:iCs/>
        <w:color w:val="5C5C5C"/>
        <w:sz w:val="16"/>
        <w:szCs w:val="16"/>
      </w:rPr>
      <w:t xml:space="preserve">© Common Interest Community Standards Council (CIC-SC). For educational use. Not legal advice. See Disclaimer on final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0" w:before="0"/>
    </w:pPr>
    <w:r>
      <w:rPr>
        <w:rFonts w:ascii="Lato" w:cs="Lato" w:eastAsia="Lato" w:hAnsi="Lato"/>
        <w:b/>
        <w:bCs/>
        <w:color w:val="173F35"/>
        <w:spacing w:val="60"/>
        <w:sz w:val="16"/>
        <w:szCs w:val="16"/>
      </w:rPr>
      <w:t xml:space="preserve">Common Interest Community Standards Council</w:t>
    </w:r>
    <w:r>
      <w:t xml:space="preserve">	</w:t>
    </w:r>
    <w:r>
      <w:rPr>
        <w:rFonts w:ascii="Lato" w:cs="Lato" w:eastAsia="Lato" w:hAnsi="Lato"/>
        <w:i/>
        <w:iCs/>
        <w:color w:val="C9A24A"/>
        <w:sz w:val="16"/>
        <w:szCs w:val="16"/>
      </w:rPr>
      <w:t xml:space="preserve">Code of Ethics — Educational Guide</w:t>
    </w:r>
  </w:p>
  <w:p>
    <w:pPr>
      <w:pBdr>
        <w:bottom w:val="single" w:color="C9A24A" w:sz="6" w:space="1"/>
      </w:pBdr>
      <w:spacing w:after="0" w:before="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ato" w:cs="Lato" w:eastAsia="Lato" w:hAnsi="Lato"/>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Garamond" w:cs="Garamond" w:eastAsia="Garamond" w:hAnsi="Garamond"/>
      <w:b/>
      <w:bCs/>
      <w:color w:val="173F35"/>
      <w:sz w:val="40"/>
      <w:szCs w:val="40"/>
    </w:rPr>
  </w:style>
  <w:style w:type="paragraph" w:styleId="Heading2">
    <w:name w:val="Heading 2"/>
    <w:basedOn w:val="Normal"/>
    <w:next w:val="Normal"/>
    <w:qFormat/>
    <w:pPr>
      <w:spacing w:after="120" w:before="240"/>
      <w:outlineLvl w:val="1"/>
    </w:pPr>
    <w:rPr>
      <w:rFonts w:ascii="Garamond" w:cs="Garamond" w:eastAsia="Garamond" w:hAnsi="Garamond"/>
      <w:b/>
      <w:bCs/>
      <w:color w:val="173F35"/>
      <w:sz w:val="30"/>
      <w:szCs w:val="30"/>
    </w:rPr>
  </w:style>
  <w:style w:type="paragraph" w:styleId="Heading3">
    <w:name w:val="Heading 3"/>
    <w:basedOn w:val="Normal"/>
    <w:next w:val="Normal"/>
    <w:qFormat/>
    <w:pPr>
      <w:spacing w:after="100" w:before="200"/>
      <w:outlineLvl w:val="2"/>
    </w:pPr>
    <w:rPr>
      <w:rFonts w:ascii="Garamond" w:cs="Garamond" w:eastAsia="Garamond" w:hAnsi="Garamond"/>
      <w:b/>
      <w:bCs/>
      <w:color w:val="173F3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Code of Ethics — Educational Guide</dc:title>
  <dc:creator>Common Interest Community Standards Council (CIC-SC)</dc:creator>
  <dc:description>CIC-SC companion educational guide to the Code of Ethics adoption-ready template.</dc:description>
  <cp:lastModifiedBy>Un-named</cp:lastModifiedBy>
  <cp:revision>1</cp:revision>
  <dcterms:created xsi:type="dcterms:W3CDTF">2026-05-10T20:12:16.669Z</dcterms:created>
  <dcterms:modified xsi:type="dcterms:W3CDTF">2026-05-10T20:12:16.669Z</dcterms:modified>
</cp:coreProperties>
</file>

<file path=docProps/custom.xml><?xml version="1.0" encoding="utf-8"?>
<Properties xmlns="http://schemas.openxmlformats.org/officeDocument/2006/custom-properties" xmlns:vt="http://schemas.openxmlformats.org/officeDocument/2006/docPropsVTypes"/>
</file>