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360" w:hRule="exact"/>
        </w:trPr>
        <w:tc>
          <w:tcPr>
            <w:tcW w:type="dxa" w:w="9360"/>
            <w:tcBorders>
              <w:top w:val="none" w:color="auto" w:sz="0"/>
              <w:left w:val="none" w:color="auto" w:sz="0"/>
              <w:bottom w:val="none" w:color="auto" w:sz="0"/>
              <w:right w:val="none" w:color="auto" w:sz="0"/>
            </w:tcBorders>
            <w:shd w:fill="C9A24A" w:color="auto" w:val="clear"/>
            <w:tcMar>
              <w:top w:type="dxa" w:w="0"/>
              <w:left w:type="dxa" w:w="0"/>
              <w:bottom w:type="dxa" w:w="0"/>
              <w:right w:type="dxa" w:w="0"/>
            </w:tcMar>
          </w:tcPr>
          <w:p>
            <w:r>
              <w:t xml:space="preserve"/>
            </w:r>
          </w:p>
        </w:tc>
      </w:tr>
    </w:tbl>
    <w:p>
      <w:pPr>
        <w:spacing w:after="0" w:before="0"/>
      </w:pPr>
      <w:r>
        <w:rPr>
          <w:sz w:val="2"/>
          <w:szCs w:val="2"/>
        </w:rPr>
        <w:t xml:space="preserve"/>
      </w:r>
    </w:p>
    <w:p>
      <w:pPr>
        <w:spacing w:after="80" w:before="320"/>
        <w:jc w:val="left"/>
      </w:pPr>
      <w:r>
        <w:rPr>
          <w:rFonts w:ascii="Lato" w:cs="Lato" w:eastAsia="Lato" w:hAnsi="Lato"/>
          <w:b/>
          <w:bCs/>
          <w:color w:val="173F35"/>
          <w:spacing w:val="120"/>
          <w:sz w:val="16"/>
          <w:szCs w:val="16"/>
        </w:rPr>
        <w:t xml:space="preserve">COMMON INTEREST COMMUNITY STANDARDS COUNCIL</w:t>
      </w:r>
    </w:p>
    <w:p>
      <w:pPr>
        <w:spacing w:after="60" w:before="0"/>
        <w:jc w:val="left"/>
      </w:pPr>
      <w:r>
        <w:rPr>
          <w:rFonts w:ascii="Lato" w:cs="Lato" w:eastAsia="Lato" w:hAnsi="Lato"/>
          <w:i/>
          <w:iCs/>
          <w:color w:val="5C5C5C"/>
          <w:sz w:val="18"/>
          <w:szCs w:val="18"/>
        </w:rPr>
        <w:t xml:space="preserve">Educational Guide  /  Companion to the Annual Operations Calendar (XLSX)</w:t>
      </w:r>
    </w:p>
    <w:p>
      <w:pPr>
        <w:pBdr>
          <w:bottom w:val="single" w:color="C9A24A" w:sz="12" w:space="1"/>
        </w:pBdr>
        <w:spacing w:after="120" w:before="80"/>
      </w:pPr>
      <w:r>
        <w:t xml:space="preserve"/>
      </w:r>
    </w:p>
    <w:p>
      <w:pPr>
        <w:spacing w:after="240" w:before="1200"/>
        <w:jc w:val="left"/>
      </w:pPr>
      <w:r>
        <w:rPr>
          <w:rFonts w:ascii="Garamond" w:cs="Garamond" w:eastAsia="Garamond" w:hAnsi="Garamond"/>
          <w:color w:val="173F35"/>
          <w:sz w:val="60"/>
          <w:szCs w:val="60"/>
        </w:rPr>
        <w:t xml:space="preserve">The Year</w:t>
      </w:r>
    </w:p>
    <w:p>
      <w:pPr>
        <w:spacing w:after="240" w:before="0"/>
        <w:jc w:val="left"/>
      </w:pPr>
      <w:r>
        <w:rPr>
          <w:rFonts w:ascii="Garamond" w:cs="Garamond" w:eastAsia="Garamond" w:hAnsi="Garamond"/>
          <w:i/>
          <w:iCs/>
          <w:color w:val="173F35"/>
          <w:sz w:val="60"/>
          <w:szCs w:val="60"/>
        </w:rPr>
        <w:t xml:space="preserve">On One Page</w:t>
      </w:r>
    </w:p>
    <w:p>
      <w:pPr>
        <w:spacing w:after="1200" w:before="80"/>
        <w:jc w:val="left"/>
      </w:pPr>
      <w:r>
        <w:rPr>
          <w:rFonts w:ascii="Lato" w:cs="Lato" w:eastAsia="Lato" w:hAnsi="Lato"/>
          <w:color w:val="1A1A1A"/>
          <w:sz w:val="24"/>
          <w:szCs w:val="24"/>
        </w:rPr>
        <w:t xml:space="preserve">How HOA and condominium boards build and maintain a single, defensible annual operations calendar — written for volunteer directors and managers in Texas and Florida.</w:t>
      </w:r>
    </w:p>
    <w:p>
      <w:pPr>
        <w:pBdr>
          <w:bottom w:val="single" w:color="173F35" w:sz="8" w:space="1"/>
        </w:pBdr>
        <w:spacing w:after="120" w:before="80"/>
      </w:pPr>
      <w:r>
        <w:t xml:space="preserve"/>
      </w:r>
    </w:p>
    <w:p>
      <w:pPr>
        <w:spacing w:after="40" w:before="0"/>
        <w:jc w:val="left"/>
      </w:pPr>
      <w:r>
        <w:rPr>
          <w:rFonts w:ascii="Lato" w:cs="Lato" w:eastAsia="Lato" w:hAnsi="Lato"/>
          <w:b/>
          <w:bCs/>
          <w:color w:val="C9A24A"/>
          <w:spacing w:val="100"/>
          <w:sz w:val="16"/>
          <w:szCs w:val="16"/>
        </w:rPr>
        <w:t xml:space="preserve">RESOURCE TYPE</w:t>
      </w:r>
    </w:p>
    <w:p>
      <w:pPr>
        <w:spacing w:after="200" w:before="0"/>
        <w:jc w:val="left"/>
      </w:pPr>
      <w:r>
        <w:rPr>
          <w:rFonts w:ascii="Lato" w:cs="Lato" w:eastAsia="Lato" w:hAnsi="Lato"/>
          <w:color w:val="1A1A1A"/>
          <w:sz w:val="22"/>
          <w:szCs w:val="22"/>
        </w:rPr>
        <w:t xml:space="preserve">Educational Guide  •  Texas &amp; Florida Applicable</w:t>
      </w:r>
    </w:p>
    <w:p>
      <w:pPr>
        <w:spacing w:after="40" w:before="0"/>
        <w:jc w:val="left"/>
      </w:pPr>
      <w:r>
        <w:rPr>
          <w:rFonts w:ascii="Lato" w:cs="Lato" w:eastAsia="Lato" w:hAnsi="Lato"/>
          <w:b/>
          <w:bCs/>
          <w:color w:val="C9A24A"/>
          <w:spacing w:val="100"/>
          <w:sz w:val="16"/>
          <w:szCs w:val="16"/>
        </w:rPr>
        <w:t xml:space="preserve">AUDIENCE</w:t>
      </w:r>
    </w:p>
    <w:p>
      <w:pPr>
        <w:spacing w:after="200" w:before="0"/>
        <w:jc w:val="left"/>
      </w:pPr>
      <w:r>
        <w:rPr>
          <w:rFonts w:ascii="Lato" w:cs="Lato" w:eastAsia="Lato" w:hAnsi="Lato"/>
          <w:color w:val="1A1A1A"/>
          <w:sz w:val="22"/>
          <w:szCs w:val="22"/>
        </w:rPr>
        <w:t xml:space="preserve">HOA &amp; Condominium Boards  •  Association Managers  •  Self-Managed Associations  •  Treasurers</w:t>
      </w:r>
    </w:p>
    <w:p>
      <w:pPr>
        <w:spacing w:after="40" w:before="0"/>
        <w:jc w:val="left"/>
      </w:pPr>
      <w:r>
        <w:rPr>
          <w:rFonts w:ascii="Lato" w:cs="Lato" w:eastAsia="Lato" w:hAnsi="Lato"/>
          <w:b/>
          <w:bCs/>
          <w:color w:val="C9A24A"/>
          <w:spacing w:val="100"/>
          <w:sz w:val="16"/>
          <w:szCs w:val="16"/>
        </w:rPr>
        <w:t xml:space="preserve">PAIRS WITH</w:t>
      </w:r>
    </w:p>
    <w:p>
      <w:pPr>
        <w:spacing w:after="200" w:before="0"/>
        <w:jc w:val="left"/>
      </w:pPr>
      <w:r>
        <w:rPr>
          <w:rFonts w:ascii="Lato" w:cs="Lato" w:eastAsia="Lato" w:hAnsi="Lato"/>
          <w:color w:val="1A1A1A"/>
          <w:sz w:val="22"/>
          <w:szCs w:val="22"/>
        </w:rPr>
        <w:t xml:space="preserve">Annual Operations Calendar Template (XLSX)  •  Standalone Sample Calendars (TX HOA, FL Condo)  •  All Vendor Management Toolkits</w:t>
      </w:r>
    </w:p>
    <w:p>
      <w:pPr>
        <w:spacing w:after="40" w:before="0"/>
        <w:jc w:val="left"/>
      </w:pPr>
      <w:r>
        <w:rPr>
          <w:rFonts w:ascii="Lato" w:cs="Lato" w:eastAsia="Lato" w:hAnsi="Lato"/>
          <w:b/>
          <w:bCs/>
          <w:color w:val="C9A24A"/>
          <w:spacing w:val="100"/>
          <w:sz w:val="16"/>
          <w:szCs w:val="16"/>
        </w:rPr>
        <w:t xml:space="preserve">PUBLISHED BY</w:t>
      </w:r>
    </w:p>
    <w:p>
      <w:pPr>
        <w:spacing w:after="0" w:before="0"/>
        <w:jc w:val="left"/>
      </w:pPr>
      <w:r>
        <w:rPr>
          <w:rFonts w:ascii="Lato" w:cs="Lato" w:eastAsia="Lato" w:hAnsi="Lato"/>
          <w:b/>
          <w:bCs/>
          <w:color w:val="1A1A1A"/>
          <w:sz w:val="22"/>
          <w:szCs w:val="22"/>
        </w:rPr>
        <w:t xml:space="preserve">Common Interest Community Standards Council  </w:t>
      </w:r>
      <w:r>
        <w:rPr>
          <w:rFonts w:ascii="Lato" w:cs="Lato" w:eastAsia="Lato" w:hAnsi="Lato"/>
          <w:color w:val="173F35"/>
          <w:sz w:val="22"/>
          <w:szCs w:val="22"/>
        </w:rPr>
        <w:t xml:space="preserve">•  CIC-SC.org</w:t>
      </w:r>
    </w:p>
    <w:p>
      <w:r>
        <w:br w:type="page"/>
      </w:r>
    </w:p>
    <w:p>
      <w:pPr>
        <w:sectPr>
          <w:headerReference w:type="default" r:id="rId7"/>
          <w:footerReference w:type="default" r:id="rId8"/>
          <w:pgSz w:w="12240" w:h="15840" w:orient="portrait"/>
          <w:pgMar w:top="0" w:right="1080" w:bottom="720" w:left="1080" w:header="0" w:footer="360" w:gutter="0"/>
          <w:pgNumType/>
          <w:docGrid w:linePitch="360"/>
        </w:sectPr>
      </w:pPr>
    </w:p>
    <w:p>
      <w:pPr>
        <w:spacing w:after="60" w:before="0"/>
      </w:pPr>
      <w:r>
        <w:rPr>
          <w:rFonts w:ascii="Lato" w:cs="Lato" w:eastAsia="Lato" w:hAnsi="Lato"/>
          <w:b/>
          <w:bCs/>
          <w:color w:val="C9A24A"/>
          <w:spacing w:val="100"/>
          <w:sz w:val="16"/>
          <w:szCs w:val="16"/>
        </w:rPr>
        <w:t xml:space="preserve">EXECUTIVE SUMMARY</w:t>
      </w:r>
    </w:p>
    <w:p>
      <w:pPr>
        <w:pStyle w:val="Heading1"/>
        <w:spacing w:after="160" w:before="280"/>
      </w:pPr>
      <w:r>
        <w:rPr>
          <w:rFonts w:ascii="Garamond" w:cs="Garamond" w:eastAsia="Garamond" w:hAnsi="Garamond"/>
          <w:b/>
          <w:bCs/>
          <w:color w:val="173F35"/>
          <w:sz w:val="40"/>
          <w:szCs w:val="40"/>
        </w:rPr>
        <w:t xml:space="preserve">In Brief</w:t>
      </w:r>
    </w:p>
    <w:p>
      <w:pPr>
        <w:pBdr>
          <w:bottom w:val="single" w:color="C9A24A" w:sz="8" w:space="1"/>
        </w:pBdr>
        <w:spacing w:after="120" w:before="80"/>
      </w:pPr>
      <w:r>
        <w:t xml:space="preserve"/>
      </w:r>
    </w:p>
    <w:p>
      <w:pPr>
        <w:spacing w:after="120" w:before="0" w:line="320"/>
        <w:jc w:val="left"/>
      </w:pPr>
      <w:r>
        <w:rPr>
          <w:rFonts w:ascii="Lato" w:cs="Lato" w:eastAsia="Lato" w:hAnsi="Lato"/>
          <w:color w:val="1A1A1A"/>
          <w:sz w:val="22"/>
          <w:szCs w:val="22"/>
        </w:rPr>
        <w:t xml:space="preserve">The Annual Operations Calendar is the single most important document a board adopts after the Bylaws and the Code of Ethics. It is the rhythm of the year — the sequence of board meetings, financial closes, insurance renewals, vendor rebids, election cycles, and statutory filings that, if any of them are missed, can produce a problem that takes the rest of the year to fix.</w:t>
      </w:r>
    </w:p>
    <w:p>
      <w:pPr>
        <w:spacing w:after="120" w:before="0" w:line="320"/>
        <w:jc w:val="left"/>
      </w:pPr>
      <w:r>
        <w:rPr>
          <w:rFonts w:ascii="Lato" w:cs="Lato" w:eastAsia="Lato" w:hAnsi="Lato"/>
          <w:color w:val="1A1A1A"/>
          <w:sz w:val="22"/>
          <w:szCs w:val="22"/>
        </w:rPr>
        <w:t xml:space="preserve">This guide explains how to build the calendar, how to use it through the year, how to adapt the CIC-SC template to your community, and how to integrate the calendar with every other CIC-SC toolkit so the year runs itself.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73F35" w:sz="4"/>
              <w:left w:val="single" w:color="173F35" w:sz="24"/>
              <w:bottom w:val="single" w:color="173F35" w:sz="4"/>
              <w:right w:val="single" w:color="173F35"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IN ONE PARAGRAPH</w:t>
            </w:r>
          </w:p>
          <w:p>
            <w:pPr>
              <w:spacing w:after="0" w:before="0" w:line="300"/>
              <w:jc w:val="left"/>
            </w:pPr>
            <w:r>
              <w:rPr>
                <w:rFonts w:ascii="Lato" w:cs="Lato" w:eastAsia="Lato" w:hAnsi="Lato"/>
                <w:color w:val="1A1A1A"/>
                <w:sz w:val="22"/>
                <w:szCs w:val="22"/>
              </w:rPr>
              <w:t xml:space="preserve">Use the CIC-SC XLSX template as the master document. Customize the 18 category rows to match your community. Populate each month-cell with the specific actions your association takes in that month. Review the calendar at the first board meeting of every year and revise it at the last. Re-issue to the membership annually. The rest of the year, the calendar manages itself.</w:t>
            </w:r>
          </w:p>
        </w:tc>
      </w:tr>
    </w:tbl>
    <w:p>
      <w:r>
        <w:br w:type="page"/>
      </w:r>
    </w:p>
    <w:p>
      <w:pPr>
        <w:spacing w:after="60" w:before="0"/>
      </w:pPr>
      <w:r>
        <w:rPr>
          <w:rFonts w:ascii="Lato" w:cs="Lato" w:eastAsia="Lato" w:hAnsi="Lato"/>
          <w:b/>
          <w:bCs/>
          <w:color w:val="C9A24A"/>
          <w:spacing w:val="100"/>
          <w:sz w:val="16"/>
          <w:szCs w:val="16"/>
        </w:rPr>
        <w:t xml:space="preserve">WHY THIS MATTERS</w:t>
      </w:r>
    </w:p>
    <w:p>
      <w:pPr>
        <w:pStyle w:val="Heading1"/>
        <w:spacing w:after="160" w:before="280"/>
      </w:pPr>
      <w:r>
        <w:rPr>
          <w:rFonts w:ascii="Garamond" w:cs="Garamond" w:eastAsia="Garamond" w:hAnsi="Garamond"/>
          <w:b/>
          <w:bCs/>
          <w:color w:val="173F35"/>
          <w:sz w:val="40"/>
          <w:szCs w:val="40"/>
        </w:rPr>
        <w:t xml:space="preserve">Why One Calendar, Not Many</w:t>
      </w:r>
    </w:p>
    <w:p>
      <w:pPr>
        <w:pBdr>
          <w:bottom w:val="single" w:color="C9A24A" w:sz="8" w:space="1"/>
        </w:pBdr>
        <w:spacing w:after="120" w:before="80"/>
      </w:pPr>
      <w:r>
        <w:t xml:space="preserve"/>
      </w:r>
    </w:p>
    <w:p>
      <w:pPr>
        <w:spacing w:after="120" w:before="0" w:line="320"/>
        <w:jc w:val="left"/>
      </w:pPr>
      <w:r>
        <w:rPr>
          <w:rFonts w:ascii="Lato" w:cs="Lato" w:eastAsia="Lato" w:hAnsi="Lato"/>
          <w:color w:val="1A1A1A"/>
          <w:sz w:val="22"/>
          <w:szCs w:val="22"/>
        </w:rPr>
        <w:t xml:space="preserve">Most associations operate with a half-dozen partial calendars: the budget calendar in the Treasurer’s head, the insurance renewal schedule in the broker’s spreadsheet, the vendor rebid cycle in the Manager’s desktop folder, the election timing buried in the Bylaws, the meeting cadence on the website. Each calendar serves its keeper well; together they leave gaps the size of a missed Form 1120-H filing.</w:t>
      </w:r>
    </w:p>
    <w:p>
      <w:pPr>
        <w:spacing w:after="200" w:before="0" w:line="320"/>
        <w:jc w:val="left"/>
      </w:pPr>
      <w:r>
        <w:rPr>
          <w:rFonts w:ascii="Lato" w:cs="Lato" w:eastAsia="Lato" w:hAnsi="Lato"/>
          <w:color w:val="1A1A1A"/>
          <w:sz w:val="22"/>
          <w:szCs w:val="22"/>
        </w:rPr>
        <w:t xml:space="preserve">A single Annual Operations Calendar consolidates the rhythm in one place. It runs the year. It tells a new Director, on day one, what the next twelve months look like. It tells the manager and the vendor what to expect. It tells the auditor and the insurance broker that the Board is paying attention. Most of all, it makes the calendar a Board document — adopted by resolution, reviewed annually, and not dependent on any one person’s memory.</w:t>
      </w:r>
    </w:p>
    <w:p>
      <w:r>
        <w:br w:type="page"/>
      </w:r>
    </w:p>
    <w:p>
      <w:pPr>
        <w:spacing w:after="60" w:before="0"/>
      </w:pPr>
      <w:r>
        <w:rPr>
          <w:rFonts w:ascii="Lato" w:cs="Lato" w:eastAsia="Lato" w:hAnsi="Lato"/>
          <w:b/>
          <w:bCs/>
          <w:color w:val="C9A24A"/>
          <w:spacing w:val="100"/>
          <w:sz w:val="16"/>
          <w:szCs w:val="16"/>
        </w:rPr>
        <w:t xml:space="preserve">THE 18 CATEGORIES</w:t>
      </w:r>
    </w:p>
    <w:p>
      <w:pPr>
        <w:pStyle w:val="Heading1"/>
        <w:spacing w:after="160" w:before="280"/>
      </w:pPr>
      <w:r>
        <w:rPr>
          <w:rFonts w:ascii="Garamond" w:cs="Garamond" w:eastAsia="Garamond" w:hAnsi="Garamond"/>
          <w:b/>
          <w:bCs/>
          <w:color w:val="173F35"/>
          <w:sz w:val="40"/>
          <w:szCs w:val="40"/>
        </w:rPr>
        <w:t xml:space="preserve">What's in the Calendar</w:t>
      </w:r>
    </w:p>
    <w:p>
      <w:pPr>
        <w:pBdr>
          <w:bottom w:val="single" w:color="C9A24A" w:sz="8" w:space="1"/>
        </w:pBdr>
        <w:spacing w:after="120" w:before="80"/>
      </w:pPr>
      <w:r>
        <w:t xml:space="preserve"/>
      </w:r>
    </w:p>
    <w:p>
      <w:pPr>
        <w:spacing w:after="200" w:before="0" w:line="320"/>
        <w:jc w:val="left"/>
      </w:pPr>
      <w:r>
        <w:rPr>
          <w:rFonts w:ascii="Lato" w:cs="Lato" w:eastAsia="Lato" w:hAnsi="Lato"/>
          <w:color w:val="1A1A1A"/>
          <w:sz w:val="22"/>
          <w:szCs w:val="22"/>
        </w:rPr>
        <w:t xml:space="preserve">The CIC-SC template uses eighteen universal categories. Each is a row on the calendar; each month is a column. You will use most of them. A few may not apply to your community (a single-family-home HOA does not have pool deck inspections; a condominium does not have separately-billed lot-owners). Delete the rows that do not apply.</w:t>
      </w:r>
    </w:p>
    <w:p>
      <w:pPr>
        <w:spacing w:after="60" w:before="120"/>
      </w:pPr>
      <w:r>
        <w:rPr>
          <w:rFonts w:ascii="Garamond" w:cs="Garamond" w:eastAsia="Garamond" w:hAnsi="Garamond"/>
          <w:b/>
          <w:bCs/>
          <w:color w:val="173F35"/>
          <w:sz w:val="26"/>
          <w:szCs w:val="26"/>
        </w:rPr>
        <w:t xml:space="preserve">Board Meetings</w:t>
      </w:r>
    </w:p>
    <w:p>
      <w:pPr>
        <w:spacing w:after="0" w:before="0" w:line="300"/>
        <w:jc w:val="left"/>
      </w:pPr>
      <w:r>
        <w:rPr>
          <w:rFonts w:ascii="Lato" w:cs="Lato" w:eastAsia="Lato" w:hAnsi="Lato"/>
          <w:color w:val="1A1A1A"/>
          <w:sz w:val="22"/>
          <w:szCs w:val="22"/>
        </w:rPr>
        <w:t xml:space="preserve">Regular Board meeting cadence (typically monthly except December). State law and your Bylaws set the notice timing.</w:t>
      </w:r>
    </w:p>
    <w:p>
      <w:pPr>
        <w:spacing w:after="60" w:before="120"/>
      </w:pPr>
      <w:r>
        <w:rPr>
          <w:rFonts w:ascii="Garamond" w:cs="Garamond" w:eastAsia="Garamond" w:hAnsi="Garamond"/>
          <w:b/>
          <w:bCs/>
          <w:color w:val="173F35"/>
          <w:sz w:val="26"/>
          <w:szCs w:val="26"/>
        </w:rPr>
        <w:t xml:space="preserve">Budget &amp; Billing</w:t>
      </w:r>
    </w:p>
    <w:p>
      <w:pPr>
        <w:spacing w:after="0" w:before="0" w:line="300"/>
        <w:jc w:val="left"/>
      </w:pPr>
      <w:r>
        <w:rPr>
          <w:rFonts w:ascii="Lato" w:cs="Lato" w:eastAsia="Lato" w:hAnsi="Lato"/>
          <w:color w:val="1A1A1A"/>
          <w:sz w:val="22"/>
          <w:szCs w:val="22"/>
        </w:rPr>
        <w:t xml:space="preserve">Annual budget cycle (kickoff, draft, vote, billing) plus quarterly financials and assessment milestones.</w:t>
      </w:r>
    </w:p>
    <w:p>
      <w:pPr>
        <w:spacing w:after="60" w:before="120"/>
      </w:pPr>
      <w:r>
        <w:rPr>
          <w:rFonts w:ascii="Garamond" w:cs="Garamond" w:eastAsia="Garamond" w:hAnsi="Garamond"/>
          <w:b/>
          <w:bCs/>
          <w:color w:val="173F35"/>
          <w:sz w:val="26"/>
          <w:szCs w:val="26"/>
        </w:rPr>
        <w:t xml:space="preserve">Common Area Inspection</w:t>
      </w:r>
    </w:p>
    <w:p>
      <w:pPr>
        <w:spacing w:after="0" w:before="0" w:line="300"/>
        <w:jc w:val="left"/>
      </w:pPr>
      <w:r>
        <w:rPr>
          <w:rFonts w:ascii="Lato" w:cs="Lato" w:eastAsia="Lato" w:hAnsi="Lato"/>
          <w:color w:val="1A1A1A"/>
          <w:sz w:val="22"/>
          <w:szCs w:val="22"/>
        </w:rPr>
        <w:t xml:space="preserve">Walkthroughs of the property — monthly walk by the Manager; quarterly walk with Board liaison; annual asset condition review.</w:t>
      </w:r>
    </w:p>
    <w:p>
      <w:pPr>
        <w:spacing w:after="60" w:before="120"/>
      </w:pPr>
      <w:r>
        <w:rPr>
          <w:rFonts w:ascii="Garamond" w:cs="Garamond" w:eastAsia="Garamond" w:hAnsi="Garamond"/>
          <w:b/>
          <w:bCs/>
          <w:color w:val="173F35"/>
          <w:sz w:val="26"/>
          <w:szCs w:val="26"/>
        </w:rPr>
        <w:t xml:space="preserve">Community Communications</w:t>
      </w:r>
    </w:p>
    <w:p>
      <w:pPr>
        <w:spacing w:after="0" w:before="0" w:line="300"/>
        <w:jc w:val="left"/>
      </w:pPr>
      <w:r>
        <w:rPr>
          <w:rFonts w:ascii="Lato" w:cs="Lato" w:eastAsia="Lato" w:hAnsi="Lato"/>
          <w:color w:val="1A1A1A"/>
          <w:sz w:val="22"/>
          <w:szCs w:val="22"/>
        </w:rPr>
        <w:t xml:space="preserve">Newsletter, bulletin, email blasts, owner portal updates.</w:t>
      </w:r>
    </w:p>
    <w:p>
      <w:pPr>
        <w:spacing w:after="60" w:before="120"/>
      </w:pPr>
      <w:r>
        <w:rPr>
          <w:rFonts w:ascii="Garamond" w:cs="Garamond" w:eastAsia="Garamond" w:hAnsi="Garamond"/>
          <w:b/>
          <w:bCs/>
          <w:color w:val="173F35"/>
          <w:sz w:val="26"/>
          <w:szCs w:val="26"/>
        </w:rPr>
        <w:t xml:space="preserve">Community Events</w:t>
      </w:r>
    </w:p>
    <w:p>
      <w:pPr>
        <w:spacing w:after="0" w:before="0" w:line="300"/>
        <w:jc w:val="left"/>
      </w:pPr>
      <w:r>
        <w:rPr>
          <w:rFonts w:ascii="Lato" w:cs="Lato" w:eastAsia="Lato" w:hAnsi="Lato"/>
          <w:color w:val="1A1A1A"/>
          <w:sz w:val="22"/>
          <w:szCs w:val="22"/>
        </w:rPr>
        <w:t xml:space="preserve">Spring cleanup, holiday parties, summer pool kickoff, owner mixers — the social rhythm.</w:t>
      </w:r>
    </w:p>
    <w:p>
      <w:pPr>
        <w:spacing w:after="60" w:before="120"/>
      </w:pPr>
      <w:r>
        <w:rPr>
          <w:rFonts w:ascii="Garamond" w:cs="Garamond" w:eastAsia="Garamond" w:hAnsi="Garamond"/>
          <w:b/>
          <w:bCs/>
          <w:color w:val="173F35"/>
          <w:sz w:val="26"/>
          <w:szCs w:val="26"/>
        </w:rPr>
        <w:t xml:space="preserve">Compliance Inspections</w:t>
      </w:r>
    </w:p>
    <w:p>
      <w:pPr>
        <w:spacing w:after="0" w:before="0" w:line="300"/>
        <w:jc w:val="left"/>
      </w:pPr>
      <w:r>
        <w:rPr>
          <w:rFonts w:ascii="Lato" w:cs="Lato" w:eastAsia="Lato" w:hAnsi="Lato"/>
          <w:color w:val="1A1A1A"/>
          <w:sz w:val="22"/>
          <w:szCs w:val="22"/>
        </w:rPr>
        <w:t xml:space="preserve">Covenants enforcement walks; documented in a written cadence.</w:t>
      </w:r>
    </w:p>
    <w:p>
      <w:pPr>
        <w:spacing w:after="60" w:before="120"/>
      </w:pPr>
      <w:r>
        <w:rPr>
          <w:rFonts w:ascii="Garamond" w:cs="Garamond" w:eastAsia="Garamond" w:hAnsi="Garamond"/>
          <w:b/>
          <w:bCs/>
          <w:color w:val="173F35"/>
          <w:sz w:val="26"/>
          <w:szCs w:val="26"/>
        </w:rPr>
        <w:t xml:space="preserve">Decorations &amp; Seasonal</w:t>
      </w:r>
    </w:p>
    <w:p>
      <w:pPr>
        <w:spacing w:after="0" w:before="0" w:line="300"/>
        <w:jc w:val="left"/>
      </w:pPr>
      <w:r>
        <w:rPr>
          <w:rFonts w:ascii="Lato" w:cs="Lato" w:eastAsia="Lato" w:hAnsi="Lato"/>
          <w:color w:val="1A1A1A"/>
          <w:sz w:val="22"/>
          <w:szCs w:val="22"/>
        </w:rPr>
        <w:t xml:space="preserve">Flag rotation, holiday lighting, seasonal plantings.</w:t>
      </w:r>
    </w:p>
    <w:p>
      <w:pPr>
        <w:spacing w:after="60" w:before="120"/>
      </w:pPr>
      <w:r>
        <w:rPr>
          <w:rFonts w:ascii="Garamond" w:cs="Garamond" w:eastAsia="Garamond" w:hAnsi="Garamond"/>
          <w:b/>
          <w:bCs/>
          <w:color w:val="173F35"/>
          <w:sz w:val="26"/>
          <w:szCs w:val="26"/>
        </w:rPr>
        <w:t xml:space="preserve">Election &amp; Annual Meeting</w:t>
      </w:r>
    </w:p>
    <w:p>
      <w:pPr>
        <w:spacing w:after="0" w:before="0" w:line="300"/>
        <w:jc w:val="left"/>
      </w:pPr>
      <w:r>
        <w:rPr>
          <w:rFonts w:ascii="Lato" w:cs="Lato" w:eastAsia="Lato" w:hAnsi="Lato"/>
          <w:color w:val="1A1A1A"/>
          <w:sz w:val="22"/>
          <w:szCs w:val="22"/>
        </w:rPr>
        <w:t xml:space="preserve">The annual meeting and election cycle — 90-day path from notice to certification. Tied to the CIC-SC Annual Meeting Ballot Toolkit.</w:t>
      </w:r>
    </w:p>
    <w:p>
      <w:pPr>
        <w:spacing w:after="60" w:before="120"/>
      </w:pPr>
      <w:r>
        <w:rPr>
          <w:rFonts w:ascii="Garamond" w:cs="Garamond" w:eastAsia="Garamond" w:hAnsi="Garamond"/>
          <w:b/>
          <w:bCs/>
          <w:color w:val="173F35"/>
          <w:sz w:val="26"/>
          <w:szCs w:val="26"/>
        </w:rPr>
        <w:t xml:space="preserve">Financial Reporting &amp; Audit</w:t>
      </w:r>
    </w:p>
    <w:p>
      <w:pPr>
        <w:spacing w:after="0" w:before="0" w:line="300"/>
        <w:jc w:val="left"/>
      </w:pPr>
      <w:r>
        <w:rPr>
          <w:rFonts w:ascii="Lato" w:cs="Lato" w:eastAsia="Lato" w:hAnsi="Lato"/>
          <w:color w:val="1A1A1A"/>
          <w:sz w:val="22"/>
          <w:szCs w:val="22"/>
        </w:rPr>
        <w:t xml:space="preserve">Year-end close, CPA engagement, prior-year financial report delivery to members, year-end planning meeting.</w:t>
      </w:r>
    </w:p>
    <w:p>
      <w:pPr>
        <w:spacing w:after="60" w:before="120"/>
      </w:pPr>
      <w:r>
        <w:rPr>
          <w:rFonts w:ascii="Garamond" w:cs="Garamond" w:eastAsia="Garamond" w:hAnsi="Garamond"/>
          <w:b/>
          <w:bCs/>
          <w:color w:val="173F35"/>
          <w:sz w:val="26"/>
          <w:szCs w:val="26"/>
        </w:rPr>
        <w:t xml:space="preserve">Insurance Renewals</w:t>
      </w:r>
    </w:p>
    <w:p>
      <w:pPr>
        <w:spacing w:after="0" w:before="0" w:line="300"/>
        <w:jc w:val="left"/>
      </w:pPr>
      <w:r>
        <w:rPr>
          <w:rFonts w:ascii="Lato" w:cs="Lato" w:eastAsia="Lato" w:hAnsi="Lato"/>
          <w:color w:val="1A1A1A"/>
          <w:sz w:val="22"/>
          <w:szCs w:val="22"/>
        </w:rPr>
        <w:t xml:space="preserve">Property, GL, D&amp;O, umbrella, cyber. Stagger to avoid coverage gaps; coordinate with broker.</w:t>
      </w:r>
    </w:p>
    <w:p>
      <w:pPr>
        <w:spacing w:after="60" w:before="120"/>
      </w:pPr>
      <w:r>
        <w:rPr>
          <w:rFonts w:ascii="Garamond" w:cs="Garamond" w:eastAsia="Garamond" w:hAnsi="Garamond"/>
          <w:b/>
          <w:bCs/>
          <w:color w:val="173F35"/>
          <w:sz w:val="26"/>
          <w:szCs w:val="26"/>
        </w:rPr>
        <w:t xml:space="preserve">Landscape Maintenance</w:t>
      </w:r>
    </w:p>
    <w:p>
      <w:pPr>
        <w:spacing w:after="0" w:before="0" w:line="300"/>
        <w:jc w:val="left"/>
      </w:pPr>
      <w:r>
        <w:rPr>
          <w:rFonts w:ascii="Lato" w:cs="Lato" w:eastAsia="Lato" w:hAnsi="Lato"/>
          <w:color w:val="1A1A1A"/>
          <w:sz w:val="22"/>
          <w:szCs w:val="22"/>
        </w:rPr>
        <w:t xml:space="preserve">Seasonal landscape schedule — frequencies, fertilization, mulch, color rotations, pruning cycles.</w:t>
      </w:r>
    </w:p>
    <w:p>
      <w:pPr>
        <w:spacing w:after="60" w:before="120"/>
      </w:pPr>
      <w:r>
        <w:rPr>
          <w:rFonts w:ascii="Garamond" w:cs="Garamond" w:eastAsia="Garamond" w:hAnsi="Garamond"/>
          <w:b/>
          <w:bCs/>
          <w:color w:val="173F35"/>
          <w:sz w:val="26"/>
          <w:szCs w:val="26"/>
        </w:rPr>
        <w:t xml:space="preserve">Pest Control &amp; Lake / Pond</w:t>
      </w:r>
    </w:p>
    <w:p>
      <w:pPr>
        <w:spacing w:after="0" w:before="0" w:line="300"/>
        <w:jc w:val="left"/>
      </w:pPr>
      <w:r>
        <w:rPr>
          <w:rFonts w:ascii="Lato" w:cs="Lato" w:eastAsia="Lato" w:hAnsi="Lato"/>
          <w:color w:val="1A1A1A"/>
          <w:sz w:val="22"/>
          <w:szCs w:val="22"/>
        </w:rPr>
        <w:t xml:space="preserve">Quarterly pest service; bi-monthly lake or stormwater pond service (where applicable).</w:t>
      </w:r>
    </w:p>
    <w:p>
      <w:pPr>
        <w:spacing w:after="60" w:before="120"/>
      </w:pPr>
      <w:r>
        <w:rPr>
          <w:rFonts w:ascii="Garamond" w:cs="Garamond" w:eastAsia="Garamond" w:hAnsi="Garamond"/>
          <w:b/>
          <w:bCs/>
          <w:color w:val="173F35"/>
          <w:sz w:val="26"/>
          <w:szCs w:val="26"/>
        </w:rPr>
        <w:t xml:space="preserve">Pool &amp; Amenity Operations</w:t>
      </w:r>
    </w:p>
    <w:p>
      <w:pPr>
        <w:spacing w:after="0" w:before="0" w:line="300"/>
        <w:jc w:val="left"/>
      </w:pPr>
      <w:r>
        <w:rPr>
          <w:rFonts w:ascii="Lato" w:cs="Lato" w:eastAsia="Lato" w:hAnsi="Lato"/>
          <w:color w:val="1A1A1A"/>
          <w:sz w:val="22"/>
          <w:szCs w:val="22"/>
        </w:rPr>
        <w:t xml:space="preserve">Pool open / close dates, lifeguard scheduling, amenity prep, hurricane prep (Florida).</w:t>
      </w:r>
    </w:p>
    <w:p>
      <w:pPr>
        <w:spacing w:after="60" w:before="120"/>
      </w:pPr>
      <w:r>
        <w:rPr>
          <w:rFonts w:ascii="Garamond" w:cs="Garamond" w:eastAsia="Garamond" w:hAnsi="Garamond"/>
          <w:b/>
          <w:bCs/>
          <w:color w:val="173F35"/>
          <w:sz w:val="26"/>
          <w:szCs w:val="26"/>
        </w:rPr>
        <w:t xml:space="preserve">Preventive Maintenance</w:t>
      </w:r>
    </w:p>
    <w:p>
      <w:pPr>
        <w:spacing w:after="0" w:before="0" w:line="300"/>
        <w:jc w:val="left"/>
      </w:pPr>
      <w:r>
        <w:rPr>
          <w:rFonts w:ascii="Lato" w:cs="Lato" w:eastAsia="Lato" w:hAnsi="Lato"/>
          <w:color w:val="1A1A1A"/>
          <w:sz w:val="22"/>
          <w:szCs w:val="22"/>
        </w:rPr>
        <w:t xml:space="preserve">Backflow inspection, fire alarm test, playground inspection, elevator service, pressure cleaning, roof inspection.</w:t>
      </w:r>
    </w:p>
    <w:p>
      <w:pPr>
        <w:spacing w:after="60" w:before="120"/>
      </w:pPr>
      <w:r>
        <w:rPr>
          <w:rFonts w:ascii="Garamond" w:cs="Garamond" w:eastAsia="Garamond" w:hAnsi="Garamond"/>
          <w:b/>
          <w:bCs/>
          <w:color w:val="173F35"/>
          <w:sz w:val="26"/>
          <w:szCs w:val="26"/>
        </w:rPr>
        <w:t xml:space="preserve">Reserve Study</w:t>
      </w:r>
    </w:p>
    <w:p>
      <w:pPr>
        <w:spacing w:after="0" w:before="0" w:line="300"/>
        <w:jc w:val="left"/>
      </w:pPr>
      <w:r>
        <w:rPr>
          <w:rFonts w:ascii="Lato" w:cs="Lato" w:eastAsia="Lato" w:hAnsi="Lato"/>
          <w:color w:val="1A1A1A"/>
          <w:sz w:val="22"/>
          <w:szCs w:val="22"/>
        </w:rPr>
        <w:t xml:space="preserve">Annual update review, full study refresh cycle (typically every 3–5 years), reserve assumptions in the budget.</w:t>
      </w:r>
    </w:p>
    <w:p>
      <w:pPr>
        <w:spacing w:after="60" w:before="120"/>
      </w:pPr>
      <w:r>
        <w:rPr>
          <w:rFonts w:ascii="Garamond" w:cs="Garamond" w:eastAsia="Garamond" w:hAnsi="Garamond"/>
          <w:b/>
          <w:bCs/>
          <w:color w:val="173F35"/>
          <w:sz w:val="26"/>
          <w:szCs w:val="26"/>
        </w:rPr>
        <w:t xml:space="preserve">Statutory &amp; Compliance</w:t>
      </w:r>
    </w:p>
    <w:p>
      <w:pPr>
        <w:spacing w:after="0" w:before="0" w:line="300"/>
        <w:jc w:val="left"/>
      </w:pPr>
      <w:r>
        <w:rPr>
          <w:rFonts w:ascii="Lato" w:cs="Lato" w:eastAsia="Lato" w:hAnsi="Lato"/>
          <w:color w:val="1A1A1A"/>
          <w:sz w:val="22"/>
          <w:szCs w:val="22"/>
        </w:rPr>
        <w:t xml:space="preserve">State-specific filings — corporate annual report, milestone inspections (FL), SIRS schedule (FL), records-access audits, Bylaws review.</w:t>
      </w:r>
    </w:p>
    <w:p>
      <w:pPr>
        <w:spacing w:after="60" w:before="120"/>
      </w:pPr>
      <w:r>
        <w:rPr>
          <w:rFonts w:ascii="Garamond" w:cs="Garamond" w:eastAsia="Garamond" w:hAnsi="Garamond"/>
          <w:b/>
          <w:bCs/>
          <w:color w:val="173F35"/>
          <w:sz w:val="26"/>
          <w:szCs w:val="26"/>
        </w:rPr>
        <w:t xml:space="preserve">Taxes &amp; Filings</w:t>
      </w:r>
    </w:p>
    <w:p>
      <w:pPr>
        <w:spacing w:after="0" w:before="0" w:line="300"/>
        <w:jc w:val="left"/>
      </w:pPr>
      <w:r>
        <w:rPr>
          <w:rFonts w:ascii="Lato" w:cs="Lato" w:eastAsia="Lato" w:hAnsi="Lato"/>
          <w:color w:val="1A1A1A"/>
          <w:sz w:val="22"/>
          <w:szCs w:val="22"/>
        </w:rPr>
        <w:t xml:space="preserve">Form 1120-H, state franchise tax, county property tax (where applicable). Coordinate with CPA.</w:t>
      </w:r>
    </w:p>
    <w:p>
      <w:pPr>
        <w:spacing w:after="60" w:before="120"/>
      </w:pPr>
      <w:r>
        <w:rPr>
          <w:rFonts w:ascii="Garamond" w:cs="Garamond" w:eastAsia="Garamond" w:hAnsi="Garamond"/>
          <w:b/>
          <w:bCs/>
          <w:color w:val="173F35"/>
          <w:sz w:val="26"/>
          <w:szCs w:val="26"/>
        </w:rPr>
        <w:t xml:space="preserve">Vendor Management</w:t>
      </w:r>
    </w:p>
    <w:p>
      <w:pPr>
        <w:spacing w:after="0" w:before="0" w:line="300"/>
        <w:jc w:val="left"/>
      </w:pPr>
      <w:r>
        <w:rPr>
          <w:rFonts w:ascii="Lato" w:cs="Lato" w:eastAsia="Lato" w:hAnsi="Lato"/>
          <w:color w:val="1A1A1A"/>
          <w:sz w:val="22"/>
          <w:szCs w:val="22"/>
        </w:rPr>
        <w:t xml:space="preserve">RFP issuance, evaluation, award, contract execution, performance review, insurance certificate renewal.</w:t>
      </w:r>
    </w:p>
    <w:p>
      <w:r>
        <w:br w:type="page"/>
      </w:r>
    </w:p>
    <w:p>
      <w:pPr>
        <w:spacing w:after="60" w:before="0"/>
      </w:pPr>
      <w:r>
        <w:rPr>
          <w:rFonts w:ascii="Lato" w:cs="Lato" w:eastAsia="Lato" w:hAnsi="Lato"/>
          <w:b/>
          <w:bCs/>
          <w:color w:val="C9A24A"/>
          <w:spacing w:val="100"/>
          <w:sz w:val="16"/>
          <w:szCs w:val="16"/>
        </w:rPr>
        <w:t xml:space="preserve">BUILDING THE CALENDAR</w:t>
      </w:r>
    </w:p>
    <w:p>
      <w:pPr>
        <w:pStyle w:val="Heading1"/>
        <w:spacing w:after="160" w:before="280"/>
      </w:pPr>
      <w:r>
        <w:rPr>
          <w:rFonts w:ascii="Garamond" w:cs="Garamond" w:eastAsia="Garamond" w:hAnsi="Garamond"/>
          <w:b/>
          <w:bCs/>
          <w:color w:val="173F35"/>
          <w:sz w:val="40"/>
          <w:szCs w:val="40"/>
        </w:rPr>
        <w:t xml:space="preserve">How to Build and Maintain It</w:t>
      </w:r>
    </w:p>
    <w:p>
      <w:pPr>
        <w:pBdr>
          <w:bottom w:val="single" w:color="C9A24A" w:sz="8" w:space="1"/>
        </w:pBdr>
        <w:spacing w:after="120" w:before="80"/>
      </w:pPr>
      <w:r>
        <w:t xml:space="preserve"/>
      </w:r>
    </w:p>
    <w:p>
      <w:pPr>
        <w:spacing w:after="200" w:before="0" w:line="320"/>
        <w:jc w:val="left"/>
      </w:pPr>
      <w:r>
        <w:rPr>
          <w:rFonts w:ascii="Lato" w:cs="Lato" w:eastAsia="Lato" w:hAnsi="Lato"/>
          <w:color w:val="1A1A1A"/>
          <w:sz w:val="22"/>
          <w:szCs w:val="22"/>
        </w:rPr>
        <w:t xml:space="preserve">The first time you build the calendar takes a board meeting. After that, it takes thirty minutes a year.</w:t>
      </w:r>
    </w:p>
    <w:p>
      <w:pPr>
        <w:pStyle w:val="Heading3"/>
        <w:spacing w:after="160" w:before="280"/>
      </w:pPr>
      <w:r>
        <w:rPr>
          <w:rFonts w:ascii="Garamond" w:cs="Garamond" w:eastAsia="Garamond" w:hAnsi="Garamond"/>
          <w:b/>
          <w:bCs/>
          <w:color w:val="173F35"/>
          <w:sz w:val="26"/>
          <w:szCs w:val="26"/>
        </w:rPr>
        <w:t xml:space="preserve">The first build</w:t>
      </w:r>
    </w:p>
    <w:p>
      <w:pPr>
        <w:pStyle w:val="ListParagraph"/>
        <w:numPr>
          <w:ilvl w:val="0"/>
          <w:numId w:val="2"/>
        </w:numPr>
        <w:spacing w:after="100" w:before="60" w:line="300"/>
      </w:pPr>
      <w:r>
        <w:rPr>
          <w:rFonts w:ascii="Lato" w:cs="Lato" w:eastAsia="Lato" w:hAnsi="Lato"/>
          <w:color w:val="1A1A1A"/>
          <w:sz w:val="22"/>
          <w:szCs w:val="22"/>
        </w:rPr>
        <w:t xml:space="preserve">Download the CIC-SC XLSX template. Save a working copy named after your association and the calendar year (e.g., “Cypress Ridge HOA — 2027 Annual Operations Calendar”).</w:t>
      </w:r>
    </w:p>
    <w:p>
      <w:pPr>
        <w:pStyle w:val="ListParagraph"/>
        <w:numPr>
          <w:ilvl w:val="0"/>
          <w:numId w:val="2"/>
        </w:numPr>
        <w:spacing w:after="100" w:before="60" w:line="300"/>
      </w:pPr>
      <w:r>
        <w:rPr>
          <w:rFonts w:ascii="Lato" w:cs="Lato" w:eastAsia="Lato" w:hAnsi="Lato"/>
          <w:color w:val="1A1A1A"/>
          <w:sz w:val="22"/>
          <w:szCs w:val="22"/>
        </w:rPr>
        <w:t xml:space="preserve">Delete category rows that do not apply to your community.</w:t>
      </w:r>
    </w:p>
    <w:p>
      <w:pPr>
        <w:pStyle w:val="ListParagraph"/>
        <w:numPr>
          <w:ilvl w:val="0"/>
          <w:numId w:val="2"/>
        </w:numPr>
        <w:spacing w:after="100" w:before="60" w:line="300"/>
      </w:pPr>
      <w:r>
        <w:rPr>
          <w:rFonts w:ascii="Lato" w:cs="Lato" w:eastAsia="Lato" w:hAnsi="Lato"/>
          <w:color w:val="1A1A1A"/>
          <w:sz w:val="22"/>
          <w:szCs w:val="22"/>
        </w:rPr>
        <w:t xml:space="preserve">Fill in board meeting dates first, then the budget cycle, then the election cycle. Those three anchor everything else.</w:t>
      </w:r>
    </w:p>
    <w:p>
      <w:pPr>
        <w:pStyle w:val="ListParagraph"/>
        <w:numPr>
          <w:ilvl w:val="0"/>
          <w:numId w:val="2"/>
        </w:numPr>
        <w:spacing w:after="100" w:before="60" w:line="300"/>
      </w:pPr>
      <w:r>
        <w:rPr>
          <w:rFonts w:ascii="Lato" w:cs="Lato" w:eastAsia="Lato" w:hAnsi="Lato"/>
          <w:color w:val="1A1A1A"/>
          <w:sz w:val="22"/>
          <w:szCs w:val="22"/>
        </w:rPr>
        <w:t xml:space="preserve">Add statutory deadlines from the state-specific tab — corporate annual report, milestone inspections (Florida condominiums), franchise tax (Texas).</w:t>
      </w:r>
    </w:p>
    <w:p>
      <w:pPr>
        <w:pStyle w:val="ListParagraph"/>
        <w:numPr>
          <w:ilvl w:val="0"/>
          <w:numId w:val="2"/>
        </w:numPr>
        <w:spacing w:after="100" w:before="60" w:line="300"/>
      </w:pPr>
      <w:r>
        <w:rPr>
          <w:rFonts w:ascii="Lato" w:cs="Lato" w:eastAsia="Lato" w:hAnsi="Lato"/>
          <w:color w:val="1A1A1A"/>
          <w:sz w:val="22"/>
          <w:szCs w:val="22"/>
        </w:rPr>
        <w:t xml:space="preserve">Add vendor management milestones — rebid cycles for routine contracts, contract expirations, performance review dates.</w:t>
      </w:r>
    </w:p>
    <w:p>
      <w:pPr>
        <w:pStyle w:val="ListParagraph"/>
        <w:numPr>
          <w:ilvl w:val="0"/>
          <w:numId w:val="2"/>
        </w:numPr>
        <w:spacing w:after="100" w:before="60" w:line="300"/>
      </w:pPr>
      <w:r>
        <w:rPr>
          <w:rFonts w:ascii="Lato" w:cs="Lato" w:eastAsia="Lato" w:hAnsi="Lato"/>
          <w:color w:val="1A1A1A"/>
          <w:sz w:val="22"/>
          <w:szCs w:val="22"/>
        </w:rPr>
        <w:t xml:space="preserve">Add insurance renewals from your broker’s schedule.</w:t>
      </w:r>
    </w:p>
    <w:p>
      <w:pPr>
        <w:pStyle w:val="ListParagraph"/>
        <w:numPr>
          <w:ilvl w:val="0"/>
          <w:numId w:val="2"/>
        </w:numPr>
        <w:spacing w:after="100" w:before="60" w:line="300"/>
      </w:pPr>
      <w:r>
        <w:rPr>
          <w:rFonts w:ascii="Lato" w:cs="Lato" w:eastAsia="Lato" w:hAnsi="Lato"/>
          <w:color w:val="1A1A1A"/>
          <w:sz w:val="22"/>
          <w:szCs w:val="22"/>
        </w:rPr>
        <w:t xml:space="preserve">Add preventive maintenance from the reserve study and the building / amenity manuals.</w:t>
      </w:r>
    </w:p>
    <w:p>
      <w:pPr>
        <w:pStyle w:val="ListParagraph"/>
        <w:numPr>
          <w:ilvl w:val="0"/>
          <w:numId w:val="2"/>
        </w:numPr>
        <w:spacing w:after="100" w:before="60" w:line="300"/>
      </w:pPr>
      <w:r>
        <w:rPr>
          <w:rFonts w:ascii="Lato" w:cs="Lato" w:eastAsia="Lato" w:hAnsi="Lato"/>
          <w:color w:val="1A1A1A"/>
          <w:sz w:val="22"/>
          <w:szCs w:val="22"/>
        </w:rPr>
        <w:t xml:space="preserve">Have the Manager and Treasurer review. Adjust until everyone is comfortable that the year is fully scheduled.</w:t>
      </w:r>
    </w:p>
    <w:p>
      <w:pPr>
        <w:pStyle w:val="ListParagraph"/>
        <w:numPr>
          <w:ilvl w:val="0"/>
          <w:numId w:val="2"/>
        </w:numPr>
        <w:spacing w:after="100" w:before="60" w:line="300"/>
      </w:pPr>
      <w:r>
        <w:rPr>
          <w:rFonts w:ascii="Lato" w:cs="Lato" w:eastAsia="Lato" w:hAnsi="Lato"/>
          <w:color w:val="1A1A1A"/>
          <w:sz w:val="22"/>
          <w:szCs w:val="22"/>
        </w:rPr>
        <w:t xml:space="preserve">Place adoption on the next regular Board meeting agenda. Adopt by resolution. Record in the minutes.</w:t>
      </w:r>
    </w:p>
    <w:p>
      <w:pPr>
        <w:spacing w:after="8" w:before="8"/>
      </w:pPr>
      <w:r>
        <w:rPr>
          <w:sz w:val="2"/>
          <w:szCs w:val="2"/>
        </w:rPr>
        <w:t xml:space="preserve"/>
      </w:r>
    </w:p>
    <w:p>
      <w:pPr>
        <w:pStyle w:val="Heading3"/>
        <w:spacing w:after="160" w:before="280"/>
      </w:pPr>
      <w:r>
        <w:rPr>
          <w:rFonts w:ascii="Garamond" w:cs="Garamond" w:eastAsia="Garamond" w:hAnsi="Garamond"/>
          <w:b/>
          <w:bCs/>
          <w:color w:val="173F35"/>
          <w:sz w:val="26"/>
          <w:szCs w:val="26"/>
        </w:rPr>
        <w:t xml:space="preserve">The annual refresh</w:t>
      </w:r>
    </w:p>
    <w:p>
      <w:pPr>
        <w:pStyle w:val="ListParagraph"/>
        <w:numPr>
          <w:ilvl w:val="0"/>
          <w:numId w:val="3"/>
        </w:numPr>
        <w:spacing w:after="60" w:before="40" w:line="290"/>
      </w:pPr>
      <w:r>
        <w:rPr>
          <w:rFonts w:ascii="Lato" w:cs="Lato" w:eastAsia="Lato" w:hAnsi="Lato"/>
          <w:color w:val="1A1A1A"/>
          <w:sz w:val="22"/>
          <w:szCs w:val="22"/>
        </w:rPr>
        <w:t xml:space="preserve">First Board meeting of the year — confirm the calendar still reflects the operating reality. Adjust any dates that have shifted (vendor contract renewals, new amenities, changed event dates).</w:t>
      </w:r>
    </w:p>
    <w:p>
      <w:pPr>
        <w:pStyle w:val="ListParagraph"/>
        <w:numPr>
          <w:ilvl w:val="0"/>
          <w:numId w:val="3"/>
        </w:numPr>
        <w:spacing w:after="60" w:before="40" w:line="290"/>
      </w:pPr>
      <w:r>
        <w:rPr>
          <w:rFonts w:ascii="Lato" w:cs="Lato" w:eastAsia="Lato" w:hAnsi="Lato"/>
          <w:color w:val="1A1A1A"/>
          <w:sz w:val="22"/>
          <w:szCs w:val="22"/>
        </w:rPr>
        <w:t xml:space="preserve">Last Board meeting of the year — draft the next year’s calendar. Carry forward what worked; revise what didn’t.</w:t>
      </w:r>
    </w:p>
    <w:p>
      <w:pPr>
        <w:pStyle w:val="ListParagraph"/>
        <w:numPr>
          <w:ilvl w:val="0"/>
          <w:numId w:val="3"/>
        </w:numPr>
        <w:spacing w:after="60" w:before="40" w:line="290"/>
      </w:pPr>
      <w:r>
        <w:rPr>
          <w:rFonts w:ascii="Lato" w:cs="Lato" w:eastAsia="Lato" w:hAnsi="Lato"/>
          <w:color w:val="1A1A1A"/>
          <w:sz w:val="22"/>
          <w:szCs w:val="22"/>
        </w:rPr>
        <w:t xml:space="preserve">Whenever a vendor RFP is awarded — update the calendar with the new contract’s milestones.</w:t>
      </w:r>
    </w:p>
    <w:p>
      <w:pPr>
        <w:pStyle w:val="ListParagraph"/>
        <w:numPr>
          <w:ilvl w:val="0"/>
          <w:numId w:val="3"/>
        </w:numPr>
        <w:spacing w:after="60" w:before="40" w:line="290"/>
      </w:pPr>
      <w:r>
        <w:rPr>
          <w:rFonts w:ascii="Lato" w:cs="Lato" w:eastAsia="Lato" w:hAnsi="Lato"/>
          <w:color w:val="1A1A1A"/>
          <w:sz w:val="22"/>
          <w:szCs w:val="22"/>
        </w:rPr>
        <w:t xml:space="preserve">Whenever statutory changes affect a deadline — update the State Compliance tab.</w:t>
      </w:r>
    </w:p>
    <w:p>
      <w:pPr>
        <w:pStyle w:val="ListParagraph"/>
        <w:numPr>
          <w:ilvl w:val="0"/>
          <w:numId w:val="3"/>
        </w:numPr>
        <w:spacing w:after="60" w:before="40" w:line="290"/>
      </w:pPr>
      <w:r>
        <w:rPr>
          <w:rFonts w:ascii="Lato" w:cs="Lato" w:eastAsia="Lato" w:hAnsi="Lato"/>
          <w:color w:val="1A1A1A"/>
          <w:sz w:val="22"/>
          <w:szCs w:val="22"/>
        </w:rPr>
        <w:t xml:space="preserve">Re-issue to the membership annually as part of the budget mailing.</w:t>
      </w:r>
    </w:p>
    <w:p>
      <w:r>
        <w:br w:type="page"/>
      </w:r>
    </w:p>
    <w:p>
      <w:pPr>
        <w:spacing w:after="60" w:before="0"/>
      </w:pPr>
      <w:r>
        <w:rPr>
          <w:rFonts w:ascii="Lato" w:cs="Lato" w:eastAsia="Lato" w:hAnsi="Lato"/>
          <w:b/>
          <w:bCs/>
          <w:color w:val="C9A24A"/>
          <w:spacing w:val="100"/>
          <w:sz w:val="16"/>
          <w:szCs w:val="16"/>
        </w:rPr>
        <w:t xml:space="preserve">INTEGRATION</w:t>
      </w:r>
    </w:p>
    <w:p>
      <w:pPr>
        <w:pStyle w:val="Heading1"/>
        <w:spacing w:after="160" w:before="280"/>
      </w:pPr>
      <w:r>
        <w:rPr>
          <w:rFonts w:ascii="Garamond" w:cs="Garamond" w:eastAsia="Garamond" w:hAnsi="Garamond"/>
          <w:b/>
          <w:bCs/>
          <w:color w:val="173F35"/>
          <w:sz w:val="40"/>
          <w:szCs w:val="40"/>
        </w:rPr>
        <w:t xml:space="preserve">How the Calendar Connects Everything Else</w:t>
      </w:r>
    </w:p>
    <w:p>
      <w:pPr>
        <w:pBdr>
          <w:bottom w:val="single" w:color="C9A24A" w:sz="8" w:space="1"/>
        </w:pBdr>
        <w:spacing w:after="120" w:before="80"/>
      </w:pPr>
      <w:r>
        <w:t xml:space="preserve"/>
      </w:r>
    </w:p>
    <w:p>
      <w:pPr>
        <w:spacing w:after="200" w:before="0" w:line="320"/>
        <w:jc w:val="left"/>
      </w:pPr>
      <w:r>
        <w:rPr>
          <w:rFonts w:ascii="Lato" w:cs="Lato" w:eastAsia="Lato" w:hAnsi="Lato"/>
          <w:color w:val="1A1A1A"/>
          <w:sz w:val="22"/>
          <w:szCs w:val="22"/>
        </w:rPr>
        <w:t xml:space="preserve">The Annual Operations Calendar is the master index for every other CIC-SC toolkit. Each row of the calendar references one or more companion resources.</w:t>
      </w:r>
    </w:p>
    <w:p>
      <w:pPr>
        <w:pStyle w:val="ListParagraph"/>
        <w:numPr>
          <w:ilvl w:val="0"/>
          <w:numId w:val="3"/>
        </w:numPr>
        <w:spacing w:after="60" w:before="40" w:line="290"/>
      </w:pPr>
      <w:r>
        <w:rPr>
          <w:rFonts w:ascii="Lato" w:cs="Lato" w:eastAsia="Lato" w:hAnsi="Lato"/>
          <w:b/>
          <w:bCs/>
          <w:color w:val="173F35"/>
          <w:sz w:val="22"/>
          <w:szCs w:val="22"/>
        </w:rPr>
        <w:t xml:space="preserve">Election &amp; Annual Meeting → </w:t>
      </w:r>
      <w:r>
        <w:rPr>
          <w:rFonts w:ascii="Lato" w:cs="Lato" w:eastAsia="Lato" w:hAnsi="Lato"/>
          <w:color w:val="1A1A1A"/>
          <w:sz w:val="22"/>
          <w:szCs w:val="22"/>
        </w:rPr>
        <w:t xml:space="preserve">CIC-SC Annual Meeting Ballot Template &amp; Educational Guide.</w:t>
      </w:r>
    </w:p>
    <w:p>
      <w:pPr>
        <w:pStyle w:val="ListParagraph"/>
        <w:numPr>
          <w:ilvl w:val="0"/>
          <w:numId w:val="3"/>
        </w:numPr>
        <w:spacing w:after="60" w:before="40" w:line="290"/>
      </w:pPr>
      <w:r>
        <w:rPr>
          <w:rFonts w:ascii="Lato" w:cs="Lato" w:eastAsia="Lato" w:hAnsi="Lato"/>
          <w:b/>
          <w:bCs/>
          <w:color w:val="173F35"/>
          <w:sz w:val="22"/>
          <w:szCs w:val="22"/>
        </w:rPr>
        <w:t xml:space="preserve">Vendor Management → </w:t>
      </w:r>
      <w:r>
        <w:rPr>
          <w:rFonts w:ascii="Lato" w:cs="Lato" w:eastAsia="Lato" w:hAnsi="Lato"/>
          <w:color w:val="1A1A1A"/>
          <w:sz w:val="22"/>
          <w:szCs w:val="22"/>
        </w:rPr>
        <w:t xml:space="preserve">CIC-SC RFP Tier 1/2 and Tier 3/4 Toolkits, Comparative Proposal Evaluation Worksheet, Vendor Services Agreement Template.</w:t>
      </w:r>
    </w:p>
    <w:p>
      <w:pPr>
        <w:pStyle w:val="ListParagraph"/>
        <w:numPr>
          <w:ilvl w:val="0"/>
          <w:numId w:val="3"/>
        </w:numPr>
        <w:spacing w:after="60" w:before="40" w:line="290"/>
      </w:pPr>
      <w:r>
        <w:rPr>
          <w:rFonts w:ascii="Lato" w:cs="Lato" w:eastAsia="Lato" w:hAnsi="Lato"/>
          <w:b/>
          <w:bCs/>
          <w:color w:val="173F35"/>
          <w:sz w:val="22"/>
          <w:szCs w:val="22"/>
        </w:rPr>
        <w:t xml:space="preserve">Election &amp; Annual Meeting → Code of Ethics </w:t>
      </w:r>
      <w:r>
        <w:rPr>
          <w:rFonts w:ascii="Lato" w:cs="Lato" w:eastAsia="Lato" w:hAnsi="Lato"/>
          <w:color w:val="1A1A1A"/>
          <w:sz w:val="22"/>
          <w:szCs w:val="22"/>
        </w:rPr>
        <w:t xml:space="preserve">(annual re-acknowledgment by every director and committee member at the post-election organizational meeting).</w:t>
      </w:r>
    </w:p>
    <w:p>
      <w:pPr>
        <w:pStyle w:val="ListParagraph"/>
        <w:numPr>
          <w:ilvl w:val="0"/>
          <w:numId w:val="3"/>
        </w:numPr>
        <w:spacing w:after="60" w:before="40" w:line="290"/>
      </w:pPr>
      <w:r>
        <w:rPr>
          <w:rFonts w:ascii="Lato" w:cs="Lato" w:eastAsia="Lato" w:hAnsi="Lato"/>
          <w:b/>
          <w:bCs/>
          <w:color w:val="173F35"/>
          <w:sz w:val="22"/>
          <w:szCs w:val="22"/>
        </w:rPr>
        <w:t xml:space="preserve">Budget &amp; Billing → Reserve Study → Insurance Renewals → </w:t>
      </w:r>
      <w:r>
        <w:rPr>
          <w:rFonts w:ascii="Lato" w:cs="Lato" w:eastAsia="Lato" w:hAnsi="Lato"/>
          <w:color w:val="1A1A1A"/>
          <w:sz w:val="22"/>
          <w:szCs w:val="22"/>
        </w:rPr>
        <w:t xml:space="preserve">the quarterly financial rhythm.</w:t>
      </w:r>
    </w:p>
    <w:p>
      <w:pPr>
        <w:pStyle w:val="ListParagraph"/>
        <w:numPr>
          <w:ilvl w:val="0"/>
          <w:numId w:val="3"/>
        </w:numPr>
        <w:spacing w:after="60" w:before="40" w:line="290"/>
      </w:pPr>
      <w:r>
        <w:rPr>
          <w:rFonts w:ascii="Lato" w:cs="Lato" w:eastAsia="Lato" w:hAnsi="Lato"/>
          <w:b/>
          <w:bCs/>
          <w:color w:val="173F35"/>
          <w:sz w:val="22"/>
          <w:szCs w:val="22"/>
        </w:rPr>
        <w:t xml:space="preserve">Statutory &amp; Compliance → </w:t>
      </w:r>
      <w:r>
        <w:rPr>
          <w:rFonts w:ascii="Lato" w:cs="Lato" w:eastAsia="Lato" w:hAnsi="Lato"/>
          <w:color w:val="1A1A1A"/>
          <w:sz w:val="22"/>
          <w:szCs w:val="22"/>
        </w:rPr>
        <w:t xml:space="preserve">the State Compliance Notes tab of the XLSX template.</w:t>
      </w:r>
    </w:p>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73F35" w:sz="4"/>
              <w:left w:val="single" w:color="173F35" w:sz="24"/>
              <w:bottom w:val="single" w:color="173F35" w:sz="4"/>
              <w:right w:val="single" w:color="173F35"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THE COMPOUNDING EFFECT</w:t>
            </w:r>
          </w:p>
          <w:p>
            <w:pPr>
              <w:spacing w:after="0" w:before="0" w:line="300"/>
              <w:jc w:val="left"/>
            </w:pPr>
            <w:r>
              <w:rPr>
                <w:rFonts w:ascii="Lato" w:cs="Lato" w:eastAsia="Lato" w:hAnsi="Lato"/>
                <w:color w:val="1A1A1A"/>
                <w:sz w:val="22"/>
                <w:szCs w:val="22"/>
              </w:rPr>
              <w:t xml:space="preserve">Each toolkit on its own is useful. The calendar makes them all useful. A board that has adopted the Code of Ethics, the Vendor Management toolkits, the Election Ballot template, and the Annual Operations Calendar runs an association that — almost regardless of who is on the Board in any given year — operates at a consistent, professional standard. That is the goal.</w:t>
            </w:r>
          </w:p>
        </w:tc>
      </w:tr>
    </w:tbl>
    <w:p>
      <w:r>
        <w:br w:type="page"/>
      </w:r>
    </w:p>
    <w:p>
      <w:pPr>
        <w:spacing w:after="60" w:before="0"/>
      </w:pPr>
      <w:r>
        <w:rPr>
          <w:rFonts w:ascii="Lato" w:cs="Lato" w:eastAsia="Lato" w:hAnsi="Lato"/>
          <w:b/>
          <w:bCs/>
          <w:color w:val="C9A24A"/>
          <w:spacing w:val="100"/>
          <w:sz w:val="16"/>
          <w:szCs w:val="16"/>
        </w:rPr>
        <w:t xml:space="preserve">COMMON MISTAKES</w:t>
      </w:r>
    </w:p>
    <w:p>
      <w:pPr>
        <w:pStyle w:val="Heading1"/>
        <w:spacing w:after="160" w:before="280"/>
      </w:pPr>
      <w:r>
        <w:rPr>
          <w:rFonts w:ascii="Garamond" w:cs="Garamond" w:eastAsia="Garamond" w:hAnsi="Garamond"/>
          <w:b/>
          <w:bCs/>
          <w:color w:val="173F35"/>
          <w:sz w:val="40"/>
          <w:szCs w:val="40"/>
        </w:rPr>
        <w:t xml:space="preserve">Pitfalls to Avoid</w:t>
      </w:r>
    </w:p>
    <w:p>
      <w:pPr>
        <w:pBdr>
          <w:bottom w:val="single" w:color="C9A24A" w:sz="8"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MISTAKE 1 — KEEPING THE CALENDAR IN ONE PERSON’S HEAD</w:t>
            </w:r>
          </w:p>
          <w:p>
            <w:pPr>
              <w:spacing w:after="0" w:before="0" w:line="300"/>
              <w:jc w:val="left"/>
            </w:pPr>
            <w:r>
              <w:rPr>
                <w:rFonts w:ascii="Lato" w:cs="Lato" w:eastAsia="Lato" w:hAnsi="Lato"/>
                <w:color w:val="1A1A1A"/>
                <w:sz w:val="22"/>
                <w:szCs w:val="22"/>
              </w:rPr>
              <w:t xml:space="preserve">The Manager, the Treasurer, or the Board President. Their memory becomes a single point of failure. Write it down — that is the calendar.</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MISTAKE 2 — ADOPTING ONCE, NEVER REVIEWING</w:t>
            </w:r>
          </w:p>
          <w:p>
            <w:pPr>
              <w:spacing w:after="0" w:before="0" w:line="300"/>
              <w:jc w:val="left"/>
            </w:pPr>
            <w:r>
              <w:rPr>
                <w:rFonts w:ascii="Lato" w:cs="Lato" w:eastAsia="Lato" w:hAnsi="Lato"/>
                <w:color w:val="1A1A1A"/>
                <w:sz w:val="22"/>
                <w:szCs w:val="22"/>
              </w:rPr>
              <w:t xml:space="preserve">A calendar adopted in 2024 and never reviewed has, by 2027, drifted from operating reality. The first Board meeting of each year should include a five-minute calendar review.</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MISTAKE 3 — MISSING THE STATUTORY DEADLINES</w:t>
            </w:r>
          </w:p>
          <w:p>
            <w:pPr>
              <w:spacing w:after="0" w:before="0" w:line="300"/>
              <w:jc w:val="left"/>
            </w:pPr>
            <w:r>
              <w:rPr>
                <w:rFonts w:ascii="Lato" w:cs="Lato" w:eastAsia="Lato" w:hAnsi="Lato"/>
                <w:color w:val="1A1A1A"/>
                <w:sz w:val="22"/>
                <w:szCs w:val="22"/>
              </w:rPr>
              <w:t xml:space="preserve">Texas Franchise Tax (May 15), Florida corporate annual report (May 1), Form 1120-H (April 15), county property tax (varies). Missing any of these can produce penalties and operational disruption disproportionate to the underlying cost. State Compliance Notes tab exists for this reason.</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MISTAKE 4 — LETTING THE CALENDAR SUBSTITUTE FOR THE MEETING NOTICE</w:t>
            </w:r>
          </w:p>
          <w:p>
            <w:pPr>
              <w:spacing w:after="0" w:before="0" w:line="300"/>
              <w:jc w:val="left"/>
            </w:pPr>
            <w:r>
              <w:rPr>
                <w:rFonts w:ascii="Lato" w:cs="Lato" w:eastAsia="Lato" w:hAnsi="Lato"/>
                <w:color w:val="1A1A1A"/>
                <w:sz w:val="22"/>
                <w:szCs w:val="22"/>
              </w:rPr>
              <w:t xml:space="preserve">The calendar is internal. The meeting notice is a separate, statutorily-required communication to members. Do not mail a calendar in place of a properly-formatted notice.</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MISTAKE 5 — MISSING THE VENDOR REBID CYCLE</w:t>
            </w:r>
          </w:p>
          <w:p>
            <w:pPr>
              <w:spacing w:after="0" w:before="0" w:line="300"/>
              <w:jc w:val="left"/>
            </w:pPr>
            <w:r>
              <w:rPr>
                <w:rFonts w:ascii="Lato" w:cs="Lato" w:eastAsia="Lato" w:hAnsi="Lato"/>
                <w:color w:val="1A1A1A"/>
                <w:sz w:val="22"/>
                <w:szCs w:val="22"/>
              </w:rPr>
              <w:t xml:space="preserve">Every Tier 1–2 vendor contract should be rebid every three years (CIC-SC default). Add the rebid milestone to the calendar two contract cycles in advance — that is, schedule the 2030 landscape rebid on the 2027 calendar so future boards inherit the rhythm.</w:t>
            </w:r>
          </w:p>
        </w:tc>
      </w:tr>
    </w:tbl>
    <w:p>
      <w:r>
        <w:br w:type="page"/>
      </w:r>
    </w:p>
    <w:p>
      <w:pPr>
        <w:spacing w:after="60" w:before="0"/>
      </w:pPr>
      <w:r>
        <w:rPr>
          <w:rFonts w:ascii="Lato" w:cs="Lato" w:eastAsia="Lato" w:hAnsi="Lato"/>
          <w:b/>
          <w:bCs/>
          <w:color w:val="C9A24A"/>
          <w:spacing w:val="100"/>
          <w:sz w:val="16"/>
          <w:szCs w:val="16"/>
        </w:rPr>
        <w:t xml:space="preserve">FREQUENTLY ASKED QUESTIONS</w:t>
      </w:r>
    </w:p>
    <w:p>
      <w:pPr>
        <w:pStyle w:val="Heading1"/>
        <w:spacing w:after="160" w:before="280"/>
      </w:pPr>
      <w:r>
        <w:rPr>
          <w:rFonts w:ascii="Garamond" w:cs="Garamond" w:eastAsia="Garamond" w:hAnsi="Garamond"/>
          <w:b/>
          <w:bCs/>
          <w:color w:val="173F35"/>
          <w:sz w:val="40"/>
          <w:szCs w:val="40"/>
        </w:rPr>
        <w:t xml:space="preserve">FAQs</w:t>
      </w:r>
    </w:p>
    <w:p>
      <w:pPr>
        <w:pBdr>
          <w:bottom w:val="single" w:color="C9A24A" w:sz="8" w:space="1"/>
        </w:pBdr>
        <w:spacing w:after="120" w:before="80"/>
      </w:pPr>
      <w:r>
        <w:t xml:space="preserve"/>
      </w:r>
    </w:p>
    <w:p>
      <w:pPr>
        <w:spacing w:after="60" w:before="200"/>
      </w:pPr>
      <w:r>
        <w:rPr>
          <w:rFonts w:ascii="Garamond" w:cs="Garamond" w:eastAsia="Garamond" w:hAnsi="Garamond"/>
          <w:b/>
          <w:bCs/>
          <w:color w:val="173F35"/>
          <w:sz w:val="26"/>
          <w:szCs w:val="26"/>
        </w:rPr>
        <w:t xml:space="preserve">Who owns the calendar?</w:t>
      </w:r>
    </w:p>
    <w:p>
      <w:pPr>
        <w:spacing w:after="0" w:before="0" w:line="320"/>
        <w:jc w:val="left"/>
      </w:pPr>
      <w:r>
        <w:rPr>
          <w:rFonts w:ascii="Lato" w:cs="Lato" w:eastAsia="Lato" w:hAnsi="Lato"/>
          <w:color w:val="1A1A1A"/>
          <w:sz w:val="22"/>
          <w:szCs w:val="22"/>
        </w:rPr>
        <w:t xml:space="preserve">The Board adopts it; the Manager maintains it. Treat it as a Board document, not a Manager document. Changes between annual reviews require Board approval if they affect statutory deadlines, meeting cadence, or vendor cycles.</w:t>
      </w:r>
    </w:p>
    <w:p>
      <w:pPr>
        <w:spacing w:after="60" w:before="200"/>
      </w:pPr>
      <w:r>
        <w:rPr>
          <w:rFonts w:ascii="Garamond" w:cs="Garamond" w:eastAsia="Garamond" w:hAnsi="Garamond"/>
          <w:b/>
          <w:bCs/>
          <w:color w:val="173F35"/>
          <w:sz w:val="26"/>
          <w:szCs w:val="26"/>
        </w:rPr>
        <w:t xml:space="preserve">Should we publish the calendar to members?</w:t>
      </w:r>
    </w:p>
    <w:p>
      <w:pPr>
        <w:spacing w:after="0" w:before="0" w:line="320"/>
        <w:jc w:val="left"/>
      </w:pPr>
      <w:r>
        <w:rPr>
          <w:rFonts w:ascii="Lato" w:cs="Lato" w:eastAsia="Lato" w:hAnsi="Lato"/>
          <w:color w:val="1A1A1A"/>
          <w:sz w:val="22"/>
          <w:szCs w:val="22"/>
        </w:rPr>
        <w:t xml:space="preserve">Yes — at minimum the meeting schedule, the budget cycle, and the election timeline. Most of the operational detail (vendor RFPs, preventive maintenance) is internal but optional to publish.</w:t>
      </w:r>
    </w:p>
    <w:p>
      <w:pPr>
        <w:spacing w:after="60" w:before="200"/>
      </w:pPr>
      <w:r>
        <w:rPr>
          <w:rFonts w:ascii="Garamond" w:cs="Garamond" w:eastAsia="Garamond" w:hAnsi="Garamond"/>
          <w:b/>
          <w:bCs/>
          <w:color w:val="173F35"/>
          <w:sz w:val="26"/>
          <w:szCs w:val="26"/>
        </w:rPr>
        <w:t xml:space="preserve">What if our fiscal year is not calendar year?</w:t>
      </w:r>
    </w:p>
    <w:p>
      <w:pPr>
        <w:spacing w:after="0" w:before="0" w:line="320"/>
        <w:jc w:val="left"/>
      </w:pPr>
      <w:r>
        <w:rPr>
          <w:rFonts w:ascii="Lato" w:cs="Lato" w:eastAsia="Lato" w:hAnsi="Lato"/>
          <w:color w:val="1A1A1A"/>
          <w:sz w:val="22"/>
          <w:szCs w:val="22"/>
        </w:rPr>
        <w:t xml:space="preserve">Use the same 12-month template, with month 1 being the first month of your fiscal year. Adjust statutory deadlines accordingly.</w:t>
      </w:r>
    </w:p>
    <w:p>
      <w:pPr>
        <w:spacing w:after="60" w:before="200"/>
      </w:pPr>
      <w:r>
        <w:rPr>
          <w:rFonts w:ascii="Garamond" w:cs="Garamond" w:eastAsia="Garamond" w:hAnsi="Garamond"/>
          <w:b/>
          <w:bCs/>
          <w:color w:val="173F35"/>
          <w:sz w:val="26"/>
          <w:szCs w:val="26"/>
        </w:rPr>
        <w:t xml:space="preserve">How do we handle multi-year items (3-year vendor contracts, 5-year reserve studies)?</w:t>
      </w:r>
    </w:p>
    <w:p>
      <w:pPr>
        <w:spacing w:after="0" w:before="0" w:line="320"/>
        <w:jc w:val="left"/>
      </w:pPr>
      <w:r>
        <w:rPr>
          <w:rFonts w:ascii="Lato" w:cs="Lato" w:eastAsia="Lato" w:hAnsi="Lato"/>
          <w:color w:val="1A1A1A"/>
          <w:sz w:val="22"/>
          <w:szCs w:val="22"/>
        </w:rPr>
        <w:t xml:space="preserve">The current-year calendar shows only the current-year actions for these. Maintain a separate rolling 3-year planning view (Tab 3 of the XLSX, if you build one) to capture future rebid milestones.</w:t>
      </w:r>
    </w:p>
    <w:p>
      <w:pPr>
        <w:spacing w:after="60" w:before="200"/>
      </w:pPr>
      <w:r>
        <w:rPr>
          <w:rFonts w:ascii="Garamond" w:cs="Garamond" w:eastAsia="Garamond" w:hAnsi="Garamond"/>
          <w:b/>
          <w:bCs/>
          <w:color w:val="173F35"/>
          <w:sz w:val="26"/>
          <w:szCs w:val="26"/>
        </w:rPr>
        <w:t xml:space="preserve">Do we need to update the calendar if state law changes?</w:t>
      </w:r>
    </w:p>
    <w:p>
      <w:pPr>
        <w:spacing w:after="0" w:before="0" w:line="320"/>
        <w:jc w:val="left"/>
      </w:pPr>
      <w:r>
        <w:rPr>
          <w:rFonts w:ascii="Lato" w:cs="Lato" w:eastAsia="Lato" w:hAnsi="Lato"/>
          <w:color w:val="1A1A1A"/>
          <w:sz w:val="22"/>
          <w:szCs w:val="22"/>
        </w:rPr>
        <w:t xml:space="preserve">Yes — update the State Compliance Notes tab. Texas and Florida community-association statutes are amended regularly; subscribe to the CIC-SC quarterly legislative updates.</w:t>
      </w:r>
    </w:p>
    <w:p>
      <w:pPr>
        <w:spacing w:after="60" w:before="200"/>
      </w:pPr>
      <w:r>
        <w:rPr>
          <w:rFonts w:ascii="Garamond" w:cs="Garamond" w:eastAsia="Garamond" w:hAnsi="Garamond"/>
          <w:b/>
          <w:bCs/>
          <w:color w:val="173F35"/>
          <w:sz w:val="26"/>
          <w:szCs w:val="26"/>
        </w:rPr>
        <w:t xml:space="preserve">Can the calendar count as our "compliance schedule" for an audit?</w:t>
      </w:r>
    </w:p>
    <w:p>
      <w:pPr>
        <w:spacing w:after="0" w:before="0" w:line="320"/>
        <w:jc w:val="left"/>
      </w:pPr>
      <w:r>
        <w:rPr>
          <w:rFonts w:ascii="Lato" w:cs="Lato" w:eastAsia="Lato" w:hAnsi="Lato"/>
          <w:color w:val="1A1A1A"/>
          <w:sz w:val="22"/>
          <w:szCs w:val="22"/>
        </w:rPr>
        <w:t xml:space="preserve">It is one input. The auditor will want supporting documentation (meeting minutes, tax filings, insurance certificates, vendor contracts). The calendar is the index; the supporting documents are the proof.</w:t>
      </w:r>
    </w:p>
    <w:p>
      <w:pPr>
        <w:spacing w:after="60" w:before="200"/>
      </w:pPr>
      <w:r>
        <w:rPr>
          <w:rFonts w:ascii="Garamond" w:cs="Garamond" w:eastAsia="Garamond" w:hAnsi="Garamond"/>
          <w:b/>
          <w:bCs/>
          <w:color w:val="173F35"/>
          <w:sz w:val="26"/>
          <w:szCs w:val="26"/>
        </w:rPr>
        <w:t xml:space="preserve">What if we adopt the calendar mid-year?</w:t>
      </w:r>
    </w:p>
    <w:p>
      <w:pPr>
        <w:spacing w:after="0" w:before="0" w:line="320"/>
        <w:jc w:val="left"/>
      </w:pPr>
      <w:r>
        <w:rPr>
          <w:rFonts w:ascii="Lato" w:cs="Lato" w:eastAsia="Lato" w:hAnsi="Lato"/>
          <w:color w:val="1A1A1A"/>
          <w:sz w:val="22"/>
          <w:szCs w:val="22"/>
        </w:rPr>
        <w:t xml:space="preserve">Start from the current month and complete the rest of the year as best you can. Adopt the full calendar at the start of the next year.</w:t>
      </w:r>
    </w:p>
    <w:p>
      <w:pPr>
        <w:spacing w:after="60" w:before="200"/>
      </w:pPr>
      <w:r>
        <w:rPr>
          <w:rFonts w:ascii="Garamond" w:cs="Garamond" w:eastAsia="Garamond" w:hAnsi="Garamond"/>
          <w:b/>
          <w:bCs/>
          <w:color w:val="173F35"/>
          <w:sz w:val="26"/>
          <w:szCs w:val="26"/>
        </w:rPr>
        <w:t xml:space="preserve">Should board members get a printed copy?</w:t>
      </w:r>
    </w:p>
    <w:p>
      <w:pPr>
        <w:spacing w:after="0" w:before="0" w:line="320"/>
        <w:jc w:val="left"/>
      </w:pPr>
      <w:r>
        <w:rPr>
          <w:rFonts w:ascii="Lato" w:cs="Lato" w:eastAsia="Lato" w:hAnsi="Lato"/>
          <w:color w:val="1A1A1A"/>
          <w:sz w:val="22"/>
          <w:szCs w:val="22"/>
        </w:rPr>
        <w:t xml:space="preserve">Yes — distribute at the organizational meeting after each election. Include it in the Board Member Onboarding Toolkit binder.</w:t>
      </w:r>
    </w:p>
    <w:p>
      <w:pPr>
        <w:spacing w:after="60" w:before="200"/>
      </w:pPr>
      <w:r>
        <w:rPr>
          <w:rFonts w:ascii="Garamond" w:cs="Garamond" w:eastAsia="Garamond" w:hAnsi="Garamond"/>
          <w:b/>
          <w:bCs/>
          <w:color w:val="173F35"/>
          <w:sz w:val="26"/>
          <w:szCs w:val="26"/>
        </w:rPr>
        <w:t xml:space="preserve">What about emergency response (hurricane, freeze, major incident)?</w:t>
      </w:r>
    </w:p>
    <w:p>
      <w:pPr>
        <w:spacing w:after="0" w:before="0" w:line="320"/>
        <w:jc w:val="left"/>
      </w:pPr>
      <w:r>
        <w:rPr>
          <w:rFonts w:ascii="Lato" w:cs="Lato" w:eastAsia="Lato" w:hAnsi="Lato"/>
          <w:color w:val="1A1A1A"/>
          <w:sz w:val="22"/>
          <w:szCs w:val="22"/>
        </w:rPr>
        <w:t xml:space="preserve">Emergency response is governed by the Association’s Emergency Operations Plan (separate document). The calendar should reference the EOP and include the seasonal prep deadlines (hurricane prep in May/June; winter freeze prep in November).</w:t>
      </w:r>
    </w:p>
    <w:p>
      <w:pPr>
        <w:spacing w:after="60" w:before="200"/>
      </w:pPr>
      <w:r>
        <w:rPr>
          <w:rFonts w:ascii="Garamond" w:cs="Garamond" w:eastAsia="Garamond" w:hAnsi="Garamond"/>
          <w:b/>
          <w:bCs/>
          <w:color w:val="173F35"/>
          <w:sz w:val="26"/>
          <w:szCs w:val="26"/>
        </w:rPr>
        <w:t xml:space="preserve">How long do we keep old calendars?</w:t>
      </w:r>
    </w:p>
    <w:p>
      <w:pPr>
        <w:spacing w:after="0" w:before="0" w:line="320"/>
        <w:jc w:val="left"/>
      </w:pPr>
      <w:r>
        <w:rPr>
          <w:rFonts w:ascii="Lato" w:cs="Lato" w:eastAsia="Lato" w:hAnsi="Lato"/>
          <w:color w:val="1A1A1A"/>
          <w:sz w:val="22"/>
          <w:szCs w:val="22"/>
        </w:rPr>
        <w:t xml:space="preserve">Seven (7) years minimum. Past calendars are useful evidence of operational discipline if any decision is ever questioned.</w:t>
      </w:r>
    </w:p>
    <w:p>
      <w:r>
        <w:br w:type="page"/>
      </w:r>
    </w:p>
    <w:p>
      <w:pPr>
        <w:spacing w:after="60" w:before="0"/>
      </w:pPr>
      <w:r>
        <w:rPr>
          <w:rFonts w:ascii="Lato" w:cs="Lato" w:eastAsia="Lato" w:hAnsi="Lato"/>
          <w:b/>
          <w:bCs/>
          <w:color w:val="C9A24A"/>
          <w:spacing w:val="100"/>
          <w:sz w:val="16"/>
          <w:szCs w:val="16"/>
        </w:rPr>
        <w:t xml:space="preserve">STATE-SPECIFIC DEADLINES</w:t>
      </w:r>
    </w:p>
    <w:p>
      <w:pPr>
        <w:pStyle w:val="Heading1"/>
        <w:spacing w:after="160" w:before="280"/>
      </w:pPr>
      <w:r>
        <w:rPr>
          <w:rFonts w:ascii="Garamond" w:cs="Garamond" w:eastAsia="Garamond" w:hAnsi="Garamond"/>
          <w:b/>
          <w:bCs/>
          <w:color w:val="173F35"/>
          <w:sz w:val="40"/>
          <w:szCs w:val="40"/>
        </w:rPr>
        <w:t xml:space="preserve">Texas &amp; Florida Key Dates</w:t>
      </w:r>
    </w:p>
    <w:p>
      <w:pPr>
        <w:pBdr>
          <w:bottom w:val="single" w:color="C9A24A" w:sz="8" w:space="1"/>
        </w:pBdr>
        <w:spacing w:after="120" w:before="80"/>
      </w:pPr>
      <w:r>
        <w:t xml:space="preserve"/>
      </w:r>
    </w:p>
    <w:p>
      <w:pPr>
        <w:spacing w:after="200" w:before="0" w:line="300"/>
        <w:jc w:val="left"/>
      </w:pPr>
      <w:r>
        <w:rPr>
          <w:rFonts w:ascii="Lato" w:cs="Lato" w:eastAsia="Lato" w:hAnsi="Lato"/>
          <w:i/>
          <w:iCs/>
          <w:color w:val="5C5C5C"/>
          <w:sz w:val="22"/>
          <w:szCs w:val="22"/>
        </w:rPr>
        <w:t xml:space="preserve">Verify current effective dates with counsel and your CPA. These are typical for most communities but vary by entity status and county.</w:t>
      </w:r>
    </w:p>
    <w:p>
      <w:pPr>
        <w:pStyle w:val="Heading2"/>
        <w:spacing w:after="160" w:before="280"/>
      </w:pPr>
      <w:r>
        <w:rPr>
          <w:rFonts w:ascii="Garamond" w:cs="Garamond" w:eastAsia="Garamond" w:hAnsi="Garamond"/>
          <w:b/>
          <w:bCs/>
          <w:color w:val="173F35"/>
          <w:sz w:val="30"/>
          <w:szCs w:val="30"/>
        </w:rPr>
        <w:t xml:space="preserve">Texas</w:t>
      </w:r>
    </w:p>
    <w:p>
      <w:pPr>
        <w:pStyle w:val="ListParagraph"/>
        <w:numPr>
          <w:ilvl w:val="0"/>
          <w:numId w:val="3"/>
        </w:numPr>
        <w:spacing w:after="60" w:before="40" w:line="290"/>
      </w:pPr>
      <w:r>
        <w:rPr>
          <w:rFonts w:ascii="Lato" w:cs="Lato" w:eastAsia="Lato" w:hAnsi="Lato"/>
          <w:b/>
          <w:bCs/>
          <w:color w:val="173F35"/>
          <w:sz w:val="22"/>
          <w:szCs w:val="22"/>
        </w:rPr>
        <w:t xml:space="preserve">January 31  </w:t>
      </w:r>
      <w:r>
        <w:rPr>
          <w:rFonts w:ascii="Lato" w:cs="Lato" w:eastAsia="Lato" w:hAnsi="Lato"/>
          <w:color w:val="1A1A1A"/>
          <w:sz w:val="22"/>
          <w:szCs w:val="22"/>
        </w:rPr>
        <w:t xml:space="preserve">— County property tax payment (if applicable). Harris County and most major counties.</w:t>
      </w:r>
    </w:p>
    <w:p>
      <w:pPr>
        <w:pStyle w:val="ListParagraph"/>
        <w:numPr>
          <w:ilvl w:val="0"/>
          <w:numId w:val="3"/>
        </w:numPr>
        <w:spacing w:after="60" w:before="40" w:line="290"/>
      </w:pPr>
      <w:r>
        <w:rPr>
          <w:rFonts w:ascii="Lato" w:cs="Lato" w:eastAsia="Lato" w:hAnsi="Lato"/>
          <w:b/>
          <w:bCs/>
          <w:color w:val="173F35"/>
          <w:sz w:val="22"/>
          <w:szCs w:val="22"/>
        </w:rPr>
        <w:t xml:space="preserve">April 15  </w:t>
      </w:r>
      <w:r>
        <w:rPr>
          <w:rFonts w:ascii="Lato" w:cs="Lato" w:eastAsia="Lato" w:hAnsi="Lato"/>
          <w:color w:val="1A1A1A"/>
          <w:sz w:val="22"/>
          <w:szCs w:val="22"/>
        </w:rPr>
        <w:t xml:space="preserve">— Federal Form 1120-H filing (or extended date). Coordinate with CPA.</w:t>
      </w:r>
    </w:p>
    <w:p>
      <w:pPr>
        <w:pStyle w:val="ListParagraph"/>
        <w:numPr>
          <w:ilvl w:val="0"/>
          <w:numId w:val="3"/>
        </w:numPr>
        <w:spacing w:after="60" w:before="40" w:line="290"/>
      </w:pPr>
      <w:r>
        <w:rPr>
          <w:rFonts w:ascii="Lato" w:cs="Lato" w:eastAsia="Lato" w:hAnsi="Lato"/>
          <w:b/>
          <w:bCs/>
          <w:color w:val="173F35"/>
          <w:sz w:val="22"/>
          <w:szCs w:val="22"/>
        </w:rPr>
        <w:t xml:space="preserve">May 15  </w:t>
      </w:r>
      <w:r>
        <w:rPr>
          <w:rFonts w:ascii="Lato" w:cs="Lato" w:eastAsia="Lato" w:hAnsi="Lato"/>
          <w:color w:val="1A1A1A"/>
          <w:sz w:val="22"/>
          <w:szCs w:val="22"/>
        </w:rPr>
        <w:t xml:space="preserve">— Texas Franchise Tax Public Information Report.</w:t>
      </w:r>
    </w:p>
    <w:p>
      <w:pPr>
        <w:pStyle w:val="ListParagraph"/>
        <w:numPr>
          <w:ilvl w:val="0"/>
          <w:numId w:val="3"/>
        </w:numPr>
        <w:spacing w:after="60" w:before="40" w:line="290"/>
      </w:pPr>
      <w:r>
        <w:rPr>
          <w:rFonts w:ascii="Lato" w:cs="Lato" w:eastAsia="Lato" w:hAnsi="Lato"/>
          <w:b/>
          <w:bCs/>
          <w:color w:val="173F35"/>
          <w:sz w:val="22"/>
          <w:szCs w:val="22"/>
        </w:rPr>
        <w:t xml:space="preserve">Annual meeting  </w:t>
      </w:r>
      <w:r>
        <w:rPr>
          <w:rFonts w:ascii="Lato" w:cs="Lato" w:eastAsia="Lato" w:hAnsi="Lato"/>
          <w:color w:val="1A1A1A"/>
          <w:sz w:val="22"/>
          <w:szCs w:val="22"/>
        </w:rPr>
        <w:t xml:space="preserve">— per governing documents; Tex. Prop. Code § 209.00592 absentee-ballot disclosure required.</w:t>
      </w:r>
    </w:p>
    <w:p>
      <w:pPr>
        <w:pStyle w:val="ListParagraph"/>
        <w:numPr>
          <w:ilvl w:val="0"/>
          <w:numId w:val="3"/>
        </w:numPr>
        <w:spacing w:after="60" w:before="40" w:line="290"/>
      </w:pPr>
      <w:r>
        <w:rPr>
          <w:rFonts w:ascii="Lato" w:cs="Lato" w:eastAsia="Lato" w:hAnsi="Lato"/>
          <w:b/>
          <w:bCs/>
          <w:color w:val="173F35"/>
          <w:sz w:val="22"/>
          <w:szCs w:val="22"/>
        </w:rPr>
        <w:t xml:space="preserve">Board meetings  </w:t>
      </w:r>
      <w:r>
        <w:rPr>
          <w:rFonts w:ascii="Lato" w:cs="Lato" w:eastAsia="Lato" w:hAnsi="Lato"/>
          <w:color w:val="1A1A1A"/>
          <w:sz w:val="22"/>
          <w:szCs w:val="22"/>
        </w:rPr>
        <w:t xml:space="preserve">— open-meeting and notice requirements under Tex. Prop. Code § 209.0051.</w:t>
      </w:r>
    </w:p>
    <w:p>
      <w:pPr>
        <w:pStyle w:val="Heading2"/>
        <w:spacing w:after="160" w:before="280"/>
      </w:pPr>
      <w:r>
        <w:rPr>
          <w:rFonts w:ascii="Garamond" w:cs="Garamond" w:eastAsia="Garamond" w:hAnsi="Garamond"/>
          <w:b/>
          <w:bCs/>
          <w:color w:val="173F35"/>
          <w:sz w:val="30"/>
          <w:szCs w:val="30"/>
        </w:rPr>
        <w:t xml:space="preserve">Florida</w:t>
      </w:r>
    </w:p>
    <w:p>
      <w:pPr>
        <w:pStyle w:val="ListParagraph"/>
        <w:numPr>
          <w:ilvl w:val="0"/>
          <w:numId w:val="3"/>
        </w:numPr>
        <w:spacing w:after="60" w:before="40" w:line="290"/>
      </w:pPr>
      <w:r>
        <w:rPr>
          <w:rFonts w:ascii="Lato" w:cs="Lato" w:eastAsia="Lato" w:hAnsi="Lato"/>
          <w:b/>
          <w:bCs/>
          <w:color w:val="173F35"/>
          <w:sz w:val="22"/>
          <w:szCs w:val="22"/>
        </w:rPr>
        <w:t xml:space="preserve">April 15  </w:t>
      </w:r>
      <w:r>
        <w:rPr>
          <w:rFonts w:ascii="Lato" w:cs="Lato" w:eastAsia="Lato" w:hAnsi="Lato"/>
          <w:color w:val="1A1A1A"/>
          <w:sz w:val="22"/>
          <w:szCs w:val="22"/>
        </w:rPr>
        <w:t xml:space="preserve">— Federal Form 1120-H filing (or extended date). Coordinate with CPA.</w:t>
      </w:r>
    </w:p>
    <w:p>
      <w:pPr>
        <w:pStyle w:val="ListParagraph"/>
        <w:numPr>
          <w:ilvl w:val="0"/>
          <w:numId w:val="3"/>
        </w:numPr>
        <w:spacing w:after="60" w:before="40" w:line="290"/>
      </w:pPr>
      <w:r>
        <w:rPr>
          <w:rFonts w:ascii="Lato" w:cs="Lato" w:eastAsia="Lato" w:hAnsi="Lato"/>
          <w:b/>
          <w:bCs/>
          <w:color w:val="173F35"/>
          <w:sz w:val="22"/>
          <w:szCs w:val="22"/>
        </w:rPr>
        <w:t xml:space="preserve">May 1  </w:t>
      </w:r>
      <w:r>
        <w:rPr>
          <w:rFonts w:ascii="Lato" w:cs="Lato" w:eastAsia="Lato" w:hAnsi="Lato"/>
          <w:color w:val="1A1A1A"/>
          <w:sz w:val="22"/>
          <w:szCs w:val="22"/>
        </w:rPr>
        <w:t xml:space="preserve">— Florida corporate annual report (Department of State, Division of Corporations).</w:t>
      </w:r>
    </w:p>
    <w:p>
      <w:pPr>
        <w:pStyle w:val="ListParagraph"/>
        <w:numPr>
          <w:ilvl w:val="0"/>
          <w:numId w:val="3"/>
        </w:numPr>
        <w:spacing w:after="60" w:before="40" w:line="290"/>
      </w:pPr>
      <w:r>
        <w:rPr>
          <w:rFonts w:ascii="Lato" w:cs="Lato" w:eastAsia="Lato" w:hAnsi="Lato"/>
          <w:b/>
          <w:bCs/>
          <w:color w:val="173F35"/>
          <w:sz w:val="22"/>
          <w:szCs w:val="22"/>
        </w:rPr>
        <w:t xml:space="preserve">May–June  </w:t>
      </w:r>
      <w:r>
        <w:rPr>
          <w:rFonts w:ascii="Lato" w:cs="Lato" w:eastAsia="Lato" w:hAnsi="Lato"/>
          <w:color w:val="1A1A1A"/>
          <w:sz w:val="22"/>
          <w:szCs w:val="22"/>
        </w:rPr>
        <w:t xml:space="preserve">— Pre-hurricane-season insurance coverage review and Emergency Operations Plan refresh.</w:t>
      </w:r>
    </w:p>
    <w:p>
      <w:pPr>
        <w:pStyle w:val="ListParagraph"/>
        <w:numPr>
          <w:ilvl w:val="0"/>
          <w:numId w:val="3"/>
        </w:numPr>
        <w:spacing w:after="60" w:before="40" w:line="290"/>
      </w:pPr>
      <w:r>
        <w:rPr>
          <w:rFonts w:ascii="Lato" w:cs="Lato" w:eastAsia="Lato" w:hAnsi="Lato"/>
          <w:b/>
          <w:bCs/>
          <w:color w:val="173F35"/>
          <w:sz w:val="22"/>
          <w:szCs w:val="22"/>
        </w:rPr>
        <w:t xml:space="preserve">Milestone Inspection  </w:t>
      </w:r>
      <w:r>
        <w:rPr>
          <w:rFonts w:ascii="Lato" w:cs="Lato" w:eastAsia="Lato" w:hAnsi="Lato"/>
          <w:color w:val="1A1A1A"/>
          <w:sz w:val="22"/>
          <w:szCs w:val="22"/>
        </w:rPr>
        <w:t xml:space="preserve">— Fla. Stat. § 553.899 requirements for condominium buildings 3+ stories at 30 years (or 25 years near coastline) and every 10 years thereafter.</w:t>
      </w:r>
    </w:p>
    <w:p>
      <w:pPr>
        <w:pStyle w:val="ListParagraph"/>
        <w:numPr>
          <w:ilvl w:val="0"/>
          <w:numId w:val="3"/>
        </w:numPr>
        <w:spacing w:after="60" w:before="40" w:line="290"/>
      </w:pPr>
      <w:r>
        <w:rPr>
          <w:rFonts w:ascii="Lato" w:cs="Lato" w:eastAsia="Lato" w:hAnsi="Lato"/>
          <w:b/>
          <w:bCs/>
          <w:color w:val="173F35"/>
          <w:sz w:val="22"/>
          <w:szCs w:val="22"/>
        </w:rPr>
        <w:t xml:space="preserve">SIRS  </w:t>
      </w:r>
      <w:r>
        <w:rPr>
          <w:rFonts w:ascii="Lato" w:cs="Lato" w:eastAsia="Lato" w:hAnsi="Lato"/>
          <w:color w:val="1A1A1A"/>
          <w:sz w:val="22"/>
          <w:szCs w:val="22"/>
        </w:rPr>
        <w:t xml:space="preserve">— Structural Integrity Reserve Study per Fla. Stat. § 718.112(2)(g). Schedule and update on regulatory cycle.</w:t>
      </w:r>
    </w:p>
    <w:p>
      <w:pPr>
        <w:pStyle w:val="ListParagraph"/>
        <w:numPr>
          <w:ilvl w:val="0"/>
          <w:numId w:val="3"/>
        </w:numPr>
        <w:spacing w:after="60" w:before="40" w:line="290"/>
      </w:pPr>
      <w:r>
        <w:rPr>
          <w:rFonts w:ascii="Lato" w:cs="Lato" w:eastAsia="Lato" w:hAnsi="Lato"/>
          <w:b/>
          <w:bCs/>
          <w:color w:val="173F35"/>
          <w:sz w:val="22"/>
          <w:szCs w:val="22"/>
        </w:rPr>
        <w:t xml:space="preserve">Annual meeting  </w:t>
      </w:r>
      <w:r>
        <w:rPr>
          <w:rFonts w:ascii="Lato" w:cs="Lato" w:eastAsia="Lato" w:hAnsi="Lato"/>
          <w:color w:val="1A1A1A"/>
          <w:sz w:val="22"/>
          <w:szCs w:val="22"/>
        </w:rPr>
        <w:t xml:space="preserve">— condominium 60-day first notice + 14-day second notice under Fla. Stat. § 718.112(2)(d); HOA per § 720.306 and governing documents.</w:t>
      </w:r>
    </w:p>
    <w:p>
      <w:r>
        <w:br w:type="page"/>
      </w:r>
    </w:p>
    <w:p>
      <w:pPr>
        <w:spacing w:after="60" w:before="0"/>
      </w:pPr>
      <w:r>
        <w:rPr>
          <w:rFonts w:ascii="Lato" w:cs="Lato" w:eastAsia="Lato" w:hAnsi="Lato"/>
          <w:b/>
          <w:bCs/>
          <w:color w:val="C9A24A"/>
          <w:spacing w:val="100"/>
          <w:sz w:val="16"/>
          <w:szCs w:val="16"/>
        </w:rPr>
        <w:t xml:space="preserve">RELATED RESOURCES</w:t>
      </w:r>
    </w:p>
    <w:p>
      <w:pPr>
        <w:pStyle w:val="Heading1"/>
        <w:spacing w:after="160" w:before="280"/>
      </w:pPr>
      <w:r>
        <w:rPr>
          <w:rFonts w:ascii="Garamond" w:cs="Garamond" w:eastAsia="Garamond" w:hAnsi="Garamond"/>
          <w:b/>
          <w:bCs/>
          <w:color w:val="173F35"/>
          <w:sz w:val="40"/>
          <w:szCs w:val="40"/>
        </w:rPr>
        <w:t xml:space="preserve">From the CIC-SC Library</w:t>
      </w:r>
    </w:p>
    <w:p>
      <w:pPr>
        <w:pBdr>
          <w:bottom w:val="single" w:color="C9A24A" w:sz="8" w:space="1"/>
        </w:pBdr>
        <w:spacing w:after="120" w:before="80"/>
      </w:pPr>
      <w:r>
        <w:t xml:space="preserve"/>
      </w:r>
    </w:p>
    <w:p>
      <w:pPr>
        <w:pStyle w:val="ListParagraph"/>
        <w:numPr>
          <w:ilvl w:val="0"/>
          <w:numId w:val="3"/>
        </w:numPr>
        <w:spacing w:after="60" w:before="40" w:line="290"/>
      </w:pPr>
      <w:r>
        <w:rPr>
          <w:rFonts w:ascii="Lato" w:cs="Lato" w:eastAsia="Lato" w:hAnsi="Lato"/>
          <w:b/>
          <w:bCs/>
          <w:color w:val="173F35"/>
          <w:sz w:val="22"/>
          <w:szCs w:val="22"/>
        </w:rPr>
        <w:t xml:space="preserve">Annual Operations Calendar Template (XLSX)  </w:t>
      </w:r>
      <w:r>
        <w:rPr>
          <w:rFonts w:ascii="Lato" w:cs="Lato" w:eastAsia="Lato" w:hAnsi="Lato"/>
          <w:color w:val="1A1A1A"/>
          <w:sz w:val="22"/>
          <w:szCs w:val="22"/>
        </w:rPr>
        <w:t xml:space="preserve">— the master document this guide accompanies.</w:t>
      </w:r>
    </w:p>
    <w:p>
      <w:pPr>
        <w:pStyle w:val="ListParagraph"/>
        <w:numPr>
          <w:ilvl w:val="0"/>
          <w:numId w:val="3"/>
        </w:numPr>
        <w:spacing w:after="60" w:before="40" w:line="290"/>
      </w:pPr>
      <w:r>
        <w:rPr>
          <w:rFonts w:ascii="Lato" w:cs="Lato" w:eastAsia="Lato" w:hAnsi="Lato"/>
          <w:b/>
          <w:bCs/>
          <w:color w:val="173F35"/>
          <w:sz w:val="22"/>
          <w:szCs w:val="22"/>
        </w:rPr>
        <w:t xml:space="preserve">Standalone Sample Calendars (TX HOA, FL Condo)  </w:t>
      </w:r>
      <w:r>
        <w:rPr>
          <w:rFonts w:ascii="Lato" w:cs="Lato" w:eastAsia="Lato" w:hAnsi="Lato"/>
          <w:color w:val="1A1A1A"/>
          <w:sz w:val="22"/>
          <w:szCs w:val="22"/>
        </w:rPr>
        <w:t xml:space="preserve">— fully populated examples for the fictional Cypress Ridge and Tarpon Bay communities.</w:t>
      </w:r>
    </w:p>
    <w:p>
      <w:pPr>
        <w:pStyle w:val="ListParagraph"/>
        <w:numPr>
          <w:ilvl w:val="0"/>
          <w:numId w:val="3"/>
        </w:numPr>
        <w:spacing w:after="60" w:before="40" w:line="290"/>
      </w:pPr>
      <w:r>
        <w:rPr>
          <w:rFonts w:ascii="Lato" w:cs="Lato" w:eastAsia="Lato" w:hAnsi="Lato"/>
          <w:b/>
          <w:bCs/>
          <w:color w:val="173F35"/>
          <w:sz w:val="22"/>
          <w:szCs w:val="22"/>
        </w:rPr>
        <w:t xml:space="preserve">Board Code of Ethics  </w:t>
      </w:r>
      <w:r>
        <w:rPr>
          <w:rFonts w:ascii="Lato" w:cs="Lato" w:eastAsia="Lato" w:hAnsi="Lato"/>
          <w:color w:val="1A1A1A"/>
          <w:sz w:val="22"/>
          <w:szCs w:val="22"/>
        </w:rPr>
        <w:t xml:space="preserve">— annual re-acknowledgment is a January calendar item.</w:t>
      </w:r>
    </w:p>
    <w:p>
      <w:pPr>
        <w:pStyle w:val="ListParagraph"/>
        <w:numPr>
          <w:ilvl w:val="0"/>
          <w:numId w:val="3"/>
        </w:numPr>
        <w:spacing w:after="60" w:before="40" w:line="290"/>
      </w:pPr>
      <w:r>
        <w:rPr>
          <w:rFonts w:ascii="Lato" w:cs="Lato" w:eastAsia="Lato" w:hAnsi="Lato"/>
          <w:b/>
          <w:bCs/>
          <w:color w:val="173F35"/>
          <w:sz w:val="22"/>
          <w:szCs w:val="22"/>
        </w:rPr>
        <w:t xml:space="preserve">Annual Meeting Ballot Toolkit  </w:t>
      </w:r>
      <w:r>
        <w:rPr>
          <w:rFonts w:ascii="Lato" w:cs="Lato" w:eastAsia="Lato" w:hAnsi="Lato"/>
          <w:color w:val="1A1A1A"/>
          <w:sz w:val="22"/>
          <w:szCs w:val="22"/>
        </w:rPr>
        <w:t xml:space="preserve">— anchors the election cycle on the calendar.</w:t>
      </w:r>
    </w:p>
    <w:p>
      <w:pPr>
        <w:pStyle w:val="ListParagraph"/>
        <w:numPr>
          <w:ilvl w:val="0"/>
          <w:numId w:val="3"/>
        </w:numPr>
        <w:spacing w:after="60" w:before="40" w:line="290"/>
      </w:pPr>
      <w:r>
        <w:rPr>
          <w:rFonts w:ascii="Lato" w:cs="Lato" w:eastAsia="Lato" w:hAnsi="Lato"/>
          <w:b/>
          <w:bCs/>
          <w:color w:val="173F35"/>
          <w:sz w:val="22"/>
          <w:szCs w:val="22"/>
        </w:rPr>
        <w:t xml:space="preserve">RFP Tier 1/2 and Tier 3/4 Toolkits  </w:t>
      </w:r>
      <w:r>
        <w:rPr>
          <w:rFonts w:ascii="Lato" w:cs="Lato" w:eastAsia="Lato" w:hAnsi="Lato"/>
          <w:color w:val="1A1A1A"/>
          <w:sz w:val="22"/>
          <w:szCs w:val="22"/>
        </w:rPr>
        <w:t xml:space="preserve">— vendor rebid milestones populate the Vendor Management row.</w:t>
      </w:r>
    </w:p>
    <w:p>
      <w:pPr>
        <w:pStyle w:val="ListParagraph"/>
        <w:numPr>
          <w:ilvl w:val="0"/>
          <w:numId w:val="3"/>
        </w:numPr>
        <w:spacing w:after="60" w:before="40" w:line="290"/>
      </w:pPr>
      <w:r>
        <w:rPr>
          <w:rFonts w:ascii="Lato" w:cs="Lato" w:eastAsia="Lato" w:hAnsi="Lato"/>
          <w:b/>
          <w:bCs/>
          <w:color w:val="173F35"/>
          <w:sz w:val="22"/>
          <w:szCs w:val="22"/>
        </w:rPr>
        <w:t xml:space="preserve">Comparative Proposal Evaluation Worksheet  </w:t>
      </w:r>
      <w:r>
        <w:rPr>
          <w:rFonts w:ascii="Lato" w:cs="Lato" w:eastAsia="Lato" w:hAnsi="Lato"/>
          <w:color w:val="1A1A1A"/>
          <w:sz w:val="22"/>
          <w:szCs w:val="22"/>
        </w:rPr>
        <w:t xml:space="preserve">— used at award milestones in the calendar.</w:t>
      </w:r>
    </w:p>
    <w:p>
      <w:pPr>
        <w:pStyle w:val="ListParagraph"/>
        <w:numPr>
          <w:ilvl w:val="0"/>
          <w:numId w:val="3"/>
        </w:numPr>
        <w:spacing w:after="60" w:before="40" w:line="290"/>
      </w:pPr>
      <w:r>
        <w:rPr>
          <w:rFonts w:ascii="Lato" w:cs="Lato" w:eastAsia="Lato" w:hAnsi="Lato"/>
          <w:b/>
          <w:bCs/>
          <w:color w:val="173F35"/>
          <w:sz w:val="22"/>
          <w:szCs w:val="22"/>
        </w:rPr>
        <w:t xml:space="preserve">Vendor Services Agreement (Tier 1/2)  </w:t>
      </w:r>
      <w:r>
        <w:rPr>
          <w:rFonts w:ascii="Lato" w:cs="Lato" w:eastAsia="Lato" w:hAnsi="Lato"/>
          <w:color w:val="1A1A1A"/>
          <w:sz w:val="22"/>
          <w:szCs w:val="22"/>
        </w:rPr>
        <w:t xml:space="preserve">— executed at contract execution milestones in the calendar.</w:t>
      </w:r>
    </w:p>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BECOME A CIC-SC MEMBER</w:t>
            </w:r>
          </w:p>
          <w:p>
            <w:pPr>
              <w:spacing w:after="0" w:before="0" w:line="300"/>
              <w:jc w:val="left"/>
            </w:pPr>
            <w:r>
              <w:rPr>
                <w:rFonts w:ascii="Lato" w:cs="Lato" w:eastAsia="Lato" w:hAnsi="Lato"/>
                <w:color w:val="1A1A1A"/>
                <w:sz w:val="22"/>
                <w:szCs w:val="22"/>
              </w:rPr>
              <w:t xml:space="preserve">Members get full access to the CIC-SC library, including the Quarterly Legislative Updates for Texas and Florida (state-law changes automatically annotated to the calendar template), live training, and one-on-one calendar-building support for new boards. Visit CIC-SC.org/membership to join.</w:t>
            </w:r>
          </w:p>
        </w:tc>
      </w:tr>
    </w:tbl>
    <w:p>
      <w:r>
        <w:br w:type="page"/>
      </w:r>
    </w:p>
    <w:p>
      <w:pPr>
        <w:spacing w:after="60" w:before="0"/>
      </w:pPr>
      <w:r>
        <w:rPr>
          <w:rFonts w:ascii="Lato" w:cs="Lato" w:eastAsia="Lato" w:hAnsi="Lato"/>
          <w:b/>
          <w:bCs/>
          <w:color w:val="C9A24A"/>
          <w:spacing w:val="100"/>
          <w:sz w:val="16"/>
          <w:szCs w:val="16"/>
        </w:rPr>
        <w:t xml:space="preserve">DISCLAIMER</w:t>
      </w:r>
    </w:p>
    <w:p>
      <w:pPr>
        <w:pStyle w:val="Heading2"/>
        <w:spacing w:after="160" w:before="280"/>
      </w:pPr>
      <w:r>
        <w:rPr>
          <w:rFonts w:ascii="Garamond" w:cs="Garamond" w:eastAsia="Garamond" w:hAnsi="Garamond"/>
          <w:b/>
          <w:bCs/>
          <w:color w:val="173F35"/>
          <w:sz w:val="30"/>
          <w:szCs w:val="30"/>
        </w:rPr>
        <w:t xml:space="preserve">CIC-SC Disclaimer</w:t>
      </w:r>
    </w:p>
    <w:p>
      <w:pPr>
        <w:pBdr>
          <w:bottom w:val="single" w:color="C9A24A" w:sz="8" w:space="1"/>
        </w:pBdr>
        <w:spacing w:after="120" w:before="80"/>
      </w:pPr>
      <w:r>
        <w:t xml:space="preserve"/>
      </w:r>
    </w:p>
    <w:p>
      <w:pPr>
        <w:spacing w:after="200" w:before="0" w:line="280"/>
        <w:jc w:val="left"/>
      </w:pPr>
      <w:r>
        <w:rPr>
          <w:rFonts w:ascii="Lato" w:cs="Lato" w:eastAsia="Lato" w:hAnsi="Lato"/>
          <w:color w:val="5C5C5C"/>
          <w:sz w:val="18"/>
          <w:szCs w:val="18"/>
        </w:rPr>
        <w:t xml:space="preserve">This resource is provided by the Common Interest Community Standards Council (CIC-SC) for general educational and informational purposes only. Community association laws and requirements vary by state and may change over time. This material is not legal, financial, insurance, reserve, or professional management advice and should not be relied upon as a substitute for consulting qualified professionals familiar with your specific circumstances and jurisdiction. While CIC-SC strives for accuracy and relevance, no guarantee is made regarding completeness, accuracy, or compliance with applicable laws.</w:t>
      </w:r>
    </w:p>
    <w:p>
      <w:pPr>
        <w:spacing w:after="40" w:before="0" w:line="300"/>
        <w:jc w:val="left"/>
      </w:pPr>
      <w:r>
        <w:rPr>
          <w:rFonts w:ascii="Lato" w:cs="Lato" w:eastAsia="Lato" w:hAnsi="Lato"/>
          <w:b/>
          <w:bCs/>
          <w:color w:val="173F35"/>
          <w:sz w:val="18"/>
          <w:szCs w:val="18"/>
        </w:rPr>
        <w:t xml:space="preserve">© Common Interest Community Standards Council (CIC-SC)</w:t>
      </w:r>
    </w:p>
    <w:p>
      <w:pPr>
        <w:spacing w:after="0" w:before="0" w:line="300"/>
        <w:jc w:val="left"/>
      </w:pPr>
      <w:r>
        <w:rPr>
          <w:rFonts w:ascii="Lato" w:cs="Lato" w:eastAsia="Lato" w:hAnsi="Lato"/>
          <w:b/>
          <w:bCs/>
          <w:color w:val="C9A24A"/>
          <w:sz w:val="18"/>
          <w:szCs w:val="18"/>
        </w:rPr>
        <w:t xml:space="preserve">CIC-SC.org</w:t>
      </w:r>
    </w:p>
    <w:sectPr>
      <w:headerReference w:type="default" r:id="rId9"/>
      <w:footerReference w:type="default" r:id="rId10"/>
      <w:pgSz w:w="12240" w:h="15840" w:orient="portrait"/>
      <w:pgMar w:top="1080" w:right="1440" w:bottom="1296" w:left="1440" w:header="540" w:footer="54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73F35" w:sz="6" w:space="6"/>
      </w:pBdr>
      <w:spacing w:after="80" w:before="60"/>
    </w:pPr>
    <w:r>
      <w:t xml:space="preserve"/>
    </w:r>
  </w:p>
  <w:p>
    <w:pPr>
      <w:tabs>
        <w:tab w:val="center" w:pos="4680"/>
        <w:tab w:val="right" w:pos="9026"/>
      </w:tabs>
      <w:spacing w:after="60" w:before="0"/>
    </w:pPr>
    <w:r>
      <w:rPr>
        <w:rFonts w:ascii="Lato" w:cs="Lato" w:eastAsia="Lato" w:hAnsi="Lato"/>
        <w:b/>
        <w:bCs/>
        <w:color w:val="173F35"/>
        <w:sz w:val="16"/>
        <w:szCs w:val="16"/>
      </w:rPr>
      <w:t xml:space="preserve">CIC-SC.org</w:t>
    </w:r>
    <w:r>
      <w:t xml:space="preserve">	</w:t>
    </w:r>
    <w:r>
      <w:rPr>
        <w:rFonts w:ascii="Lato" w:cs="Lato" w:eastAsia="Lato" w:hAnsi="Lato"/>
        <w:i/>
        <w:iCs/>
        <w:color w:val="5C5C5C"/>
        <w:sz w:val="16"/>
        <w:szCs w:val="16"/>
      </w:rPr>
      <w:t xml:space="preserve">Annual Operations Calendar  •  Educational Guide</w:t>
    </w:r>
    <w:r>
      <w:t xml:space="preserve">	</w:t>
    </w:r>
    <w:r>
      <w:rPr>
        <w:rFonts w:ascii="Lato" w:cs="Lato" w:eastAsia="Lato" w:hAnsi="Lato"/>
        <w:color w:val="5C5C5C"/>
        <w:sz w:val="16"/>
        <w:szCs w:val="16"/>
      </w:rPr>
      <w:t xml:space="preserve">Page </w:t>
    </w:r>
    <w:r>
      <w:rPr>
        <w:rFonts w:ascii="Lato" w:cs="Lato" w:eastAsia="Lato" w:hAnsi="Lato"/>
        <w:b/>
        <w:bCs/>
        <w:color w:val="173F35"/>
        <w:sz w:val="16"/>
        <w:szCs w:val="16"/>
      </w:rPr>
      <w:fldChar w:fldCharType="begin"/>
      <w:instrText xml:space="preserve">PAGE</w:instrText>
      <w:fldChar w:fldCharType="separate"/>
      <w:fldChar w:fldCharType="end"/>
    </w:r>
    <w:r>
      <w:rPr>
        <w:rFonts w:ascii="Lato" w:cs="Lato" w:eastAsia="Lato" w:hAnsi="Lato"/>
        <w:color w:val="5C5C5C"/>
        <w:sz w:val="16"/>
        <w:szCs w:val="16"/>
      </w:rPr>
      <w:t xml:space="preserve"> / </w:t>
    </w:r>
    <w:r>
      <w:rPr>
        <w:rFonts w:ascii="Lato" w:cs="Lato" w:eastAsia="Lato" w:hAnsi="Lato"/>
        <w:color w:val="5C5C5C"/>
        <w:sz w:val="16"/>
        <w:szCs w:val="16"/>
      </w:rPr>
      <w:fldChar w:fldCharType="begin"/>
      <w:instrText xml:space="preserve">NUMPAGES</w:instrText>
      <w:fldChar w:fldCharType="separate"/>
      <w:fldChar w:fldCharType="end"/>
    </w:r>
  </w:p>
  <w:p>
    <w:pPr>
      <w:spacing w:after="0" w:before="0"/>
    </w:pPr>
    <w:r>
      <w:rPr>
        <w:rFonts w:ascii="Lato" w:cs="Lato" w:eastAsia="Lato" w:hAnsi="Lato"/>
        <w:i/>
        <w:iCs/>
        <w:color w:val="5C5C5C"/>
        <w:sz w:val="16"/>
        <w:szCs w:val="16"/>
      </w:rPr>
      <w:t xml:space="preserve">© Common Interest Community Standards Council (CIC-SC). For educational use. Not legal advice. See Disclaimer on final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0" w:before="0"/>
    </w:pPr>
    <w:r>
      <w:rPr>
        <w:rFonts w:ascii="Lato" w:cs="Lato" w:eastAsia="Lato" w:hAnsi="Lato"/>
        <w:b/>
        <w:bCs/>
        <w:color w:val="173F35"/>
        <w:spacing w:val="60"/>
        <w:sz w:val="16"/>
        <w:szCs w:val="16"/>
      </w:rPr>
      <w:t xml:space="preserve">Common Interest Community Standards Council</w:t>
    </w:r>
    <w:r>
      <w:t xml:space="preserve">	</w:t>
    </w:r>
    <w:r>
      <w:rPr>
        <w:rFonts w:ascii="Lato" w:cs="Lato" w:eastAsia="Lato" w:hAnsi="Lato"/>
        <w:i/>
        <w:iCs/>
        <w:color w:val="C9A24A"/>
        <w:sz w:val="16"/>
        <w:szCs w:val="16"/>
      </w:rPr>
      <w:t xml:space="preserve">Annual Operations Calendar — Educational Guide</w:t>
    </w:r>
  </w:p>
  <w:p>
    <w:pPr>
      <w:pBdr>
        <w:bottom w:val="single" w:color="C9A24A" w:sz="6" w:space="1"/>
      </w:pBdr>
      <w:spacing w:after="0" w:before="6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lowerLetter"/>
      <w:lvlText w:val="%1)"/>
      <w:lvlJc w:val="left"/>
      <w:pPr>
        <w:ind w:left="1080" w:hanging="360"/>
      </w:pPr>
    </w:lvl>
  </w:abstractNum>
  <w:abstractNum w:abstractNumId="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 w:numId="3">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ato" w:cs="Lato" w:eastAsia="Lato" w:hAnsi="Lato"/>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Garamond" w:cs="Garamond" w:eastAsia="Garamond" w:hAnsi="Garamond"/>
      <w:b/>
      <w:bCs/>
      <w:color w:val="173F35"/>
      <w:sz w:val="40"/>
      <w:szCs w:val="40"/>
    </w:rPr>
  </w:style>
  <w:style w:type="paragraph" w:styleId="Heading2">
    <w:name w:val="Heading 2"/>
    <w:basedOn w:val="Normal"/>
    <w:next w:val="Normal"/>
    <w:qFormat/>
    <w:pPr>
      <w:spacing w:after="120" w:before="240"/>
      <w:outlineLvl w:val="1"/>
    </w:pPr>
    <w:rPr>
      <w:rFonts w:ascii="Garamond" w:cs="Garamond" w:eastAsia="Garamond" w:hAnsi="Garamond"/>
      <w:b/>
      <w:bCs/>
      <w:color w:val="173F35"/>
      <w:sz w:val="30"/>
      <w:szCs w:val="30"/>
    </w:rPr>
  </w:style>
  <w:style w:type="paragraph" w:styleId="Heading3">
    <w:name w:val="Heading 3"/>
    <w:basedOn w:val="Normal"/>
    <w:next w:val="Normal"/>
    <w:qFormat/>
    <w:pPr>
      <w:spacing w:after="100" w:before="200"/>
      <w:outlineLvl w:val="2"/>
    </w:pPr>
    <w:rPr>
      <w:rFonts w:ascii="Garamond" w:cs="Garamond" w:eastAsia="Garamond" w:hAnsi="Garamond"/>
      <w:b/>
      <w:bCs/>
      <w:color w:val="173F3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Operations Calendar — Educational Guide</dc:title>
  <dc:creator>Common Interest Community Standards Council (CIC-SC)</dc:creator>
  <dc:description>CIC-SC Operational Resources — companion guide.</dc:description>
  <cp:lastModifiedBy>Un-named</cp:lastModifiedBy>
  <cp:revision>1</cp:revision>
  <dcterms:created xsi:type="dcterms:W3CDTF">2026-05-11T02:22:57.701Z</dcterms:created>
  <dcterms:modified xsi:type="dcterms:W3CDTF">2026-05-11T02:22:57.707Z</dcterms:modified>
</cp:coreProperties>
</file>

<file path=docProps/custom.xml><?xml version="1.0" encoding="utf-8"?>
<Properties xmlns="http://schemas.openxmlformats.org/officeDocument/2006/custom-properties" xmlns:vt="http://schemas.openxmlformats.org/officeDocument/2006/docPropsVTypes"/>
</file>