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header+xml" PartName="/word/header2.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rPr>
          <w:trHeight w:val="360" w:hRule="exact"/>
        </w:trPr>
        <w:tc>
          <w:tcPr>
            <w:tcW w:type="dxa" w:w="9360"/>
            <w:tcBorders>
              <w:top w:val="none" w:color="auto" w:sz="0"/>
              <w:left w:val="none" w:color="auto" w:sz="0"/>
              <w:bottom w:val="none" w:color="auto" w:sz="0"/>
              <w:right w:val="none" w:color="auto" w:sz="0"/>
            </w:tcBorders>
            <w:shd w:fill="C9A24A" w:color="auto" w:val="clear"/>
            <w:tcMar>
              <w:top w:type="dxa" w:w="0"/>
              <w:left w:type="dxa" w:w="0"/>
              <w:bottom w:type="dxa" w:w="0"/>
              <w:right w:type="dxa" w:w="0"/>
            </w:tcMar>
          </w:tcPr>
          <w:p>
            <w:r>
              <w:t xml:space="preserve"/>
            </w:r>
          </w:p>
        </w:tc>
      </w:tr>
    </w:tbl>
    <w:p>
      <w:pPr>
        <w:spacing w:after="0" w:before="0"/>
      </w:pPr>
      <w:r>
        <w:rPr>
          <w:sz w:val="2"/>
          <w:szCs w:val="2"/>
        </w:rPr>
        <w:t xml:space="preserve"/>
      </w:r>
    </w:p>
    <w:p>
      <w:pPr>
        <w:spacing w:after="80" w:before="320"/>
        <w:jc w:val="left"/>
      </w:pPr>
      <w:r>
        <w:rPr>
          <w:rFonts w:ascii="Lato" w:cs="Lato" w:eastAsia="Lato" w:hAnsi="Lato"/>
          <w:b/>
          <w:bCs/>
          <w:color w:val="173F35"/>
          <w:spacing w:val="120"/>
          <w:sz w:val="16"/>
          <w:szCs w:val="16"/>
        </w:rPr>
        <w:t xml:space="preserve">COMMON INTEREST COMMUNITY STANDARDS COUNCIL</w:t>
      </w:r>
    </w:p>
    <w:p>
      <w:pPr>
        <w:spacing w:after="60" w:before="0"/>
        <w:jc w:val="left"/>
      </w:pPr>
      <w:r>
        <w:rPr>
          <w:rFonts w:ascii="Lato" w:cs="Lato" w:eastAsia="Lato" w:hAnsi="Lato"/>
          <w:i/>
          <w:iCs/>
          <w:color w:val="5C5C5C"/>
          <w:sz w:val="18"/>
          <w:szCs w:val="18"/>
        </w:rPr>
        <w:t xml:space="preserve">Educational Guide  /  Companion to the Ballot Template</w:t>
      </w:r>
    </w:p>
    <w:p>
      <w:pPr>
        <w:pBdr>
          <w:bottom w:val="single" w:color="C9A24A" w:sz="12" w:space="1"/>
        </w:pBdr>
        <w:spacing w:after="120" w:before="80"/>
      </w:pPr>
      <w:r>
        <w:t xml:space="preserve"/>
      </w:r>
    </w:p>
    <w:p>
      <w:pPr>
        <w:spacing w:after="240" w:before="1200"/>
        <w:jc w:val="left"/>
      </w:pPr>
      <w:r>
        <w:rPr>
          <w:rFonts w:ascii="Garamond" w:cs="Garamond" w:eastAsia="Garamond" w:hAnsi="Garamond"/>
          <w:color w:val="173F35"/>
          <w:sz w:val="60"/>
          <w:szCs w:val="60"/>
        </w:rPr>
        <w:t xml:space="preserve">Running the</w:t>
      </w:r>
    </w:p>
    <w:p>
      <w:pPr>
        <w:spacing w:after="240" w:before="0"/>
        <w:jc w:val="left"/>
      </w:pPr>
      <w:r>
        <w:rPr>
          <w:rFonts w:ascii="Garamond" w:cs="Garamond" w:eastAsia="Garamond" w:hAnsi="Garamond"/>
          <w:i/>
          <w:iCs/>
          <w:color w:val="173F35"/>
          <w:sz w:val="60"/>
          <w:szCs w:val="60"/>
        </w:rPr>
        <w:t xml:space="preserve">Annual Meeting</w:t>
      </w:r>
    </w:p>
    <w:p>
      <w:pPr>
        <w:spacing w:after="1200" w:before="80"/>
        <w:jc w:val="left"/>
      </w:pPr>
      <w:r>
        <w:rPr>
          <w:rFonts w:ascii="Lato" w:cs="Lato" w:eastAsia="Lato" w:hAnsi="Lato"/>
          <w:color w:val="1A1A1A"/>
          <w:sz w:val="24"/>
          <w:szCs w:val="24"/>
        </w:rPr>
        <w:t xml:space="preserve">How HOA and condominium boards plan, notice, conduct, and certify the annual meeting and election — written for volunteer directors and managers in Texas and Florida.</w:t>
      </w:r>
    </w:p>
    <w:p>
      <w:pPr>
        <w:pBdr>
          <w:bottom w:val="single" w:color="173F35" w:sz="8" w:space="1"/>
        </w:pBdr>
        <w:spacing w:after="120" w:before="80"/>
      </w:pPr>
      <w:r>
        <w:t xml:space="preserve"/>
      </w:r>
    </w:p>
    <w:p>
      <w:pPr>
        <w:spacing w:after="40" w:before="0"/>
        <w:jc w:val="left"/>
      </w:pPr>
      <w:r>
        <w:rPr>
          <w:rFonts w:ascii="Lato" w:cs="Lato" w:eastAsia="Lato" w:hAnsi="Lato"/>
          <w:b/>
          <w:bCs/>
          <w:color w:val="C9A24A"/>
          <w:spacing w:val="100"/>
          <w:sz w:val="16"/>
          <w:szCs w:val="16"/>
        </w:rPr>
        <w:t xml:space="preserve">RESOURCE TYPE</w:t>
      </w:r>
    </w:p>
    <w:p>
      <w:pPr>
        <w:spacing w:after="200" w:before="0"/>
        <w:jc w:val="left"/>
      </w:pPr>
      <w:r>
        <w:rPr>
          <w:rFonts w:ascii="Lato" w:cs="Lato" w:eastAsia="Lato" w:hAnsi="Lato"/>
          <w:color w:val="1A1A1A"/>
          <w:sz w:val="22"/>
          <w:szCs w:val="22"/>
        </w:rPr>
        <w:t xml:space="preserve">Educational Guide  •  Texas &amp; Florida Applicable</w:t>
      </w:r>
    </w:p>
    <w:p>
      <w:pPr>
        <w:spacing w:after="40" w:before="0"/>
        <w:jc w:val="left"/>
      </w:pPr>
      <w:r>
        <w:rPr>
          <w:rFonts w:ascii="Lato" w:cs="Lato" w:eastAsia="Lato" w:hAnsi="Lato"/>
          <w:b/>
          <w:bCs/>
          <w:color w:val="C9A24A"/>
          <w:spacing w:val="100"/>
          <w:sz w:val="16"/>
          <w:szCs w:val="16"/>
        </w:rPr>
        <w:t xml:space="preserve">AUDIENCE</w:t>
      </w:r>
    </w:p>
    <w:p>
      <w:pPr>
        <w:spacing w:after="200" w:before="0"/>
        <w:jc w:val="left"/>
      </w:pPr>
      <w:r>
        <w:rPr>
          <w:rFonts w:ascii="Lato" w:cs="Lato" w:eastAsia="Lato" w:hAnsi="Lato"/>
          <w:color w:val="1A1A1A"/>
          <w:sz w:val="22"/>
          <w:szCs w:val="22"/>
        </w:rPr>
        <w:t xml:space="preserve">HOA &amp; Condominium Boards  •  Election Committees  •  Association Managers  •  Self-Managed Associations</w:t>
      </w:r>
    </w:p>
    <w:p>
      <w:pPr>
        <w:spacing w:after="40" w:before="0"/>
        <w:jc w:val="left"/>
      </w:pPr>
      <w:r>
        <w:rPr>
          <w:rFonts w:ascii="Lato" w:cs="Lato" w:eastAsia="Lato" w:hAnsi="Lato"/>
          <w:b/>
          <w:bCs/>
          <w:color w:val="C9A24A"/>
          <w:spacing w:val="100"/>
          <w:sz w:val="16"/>
          <w:szCs w:val="16"/>
        </w:rPr>
        <w:t xml:space="preserve">PAIRS WITH</w:t>
      </w:r>
    </w:p>
    <w:p>
      <w:pPr>
        <w:spacing w:after="200" w:before="0"/>
        <w:jc w:val="left"/>
      </w:pPr>
      <w:r>
        <w:rPr>
          <w:rFonts w:ascii="Lato" w:cs="Lato" w:eastAsia="Lato" w:hAnsi="Lato"/>
          <w:color w:val="1A1A1A"/>
          <w:sz w:val="22"/>
          <w:szCs w:val="22"/>
        </w:rPr>
        <w:t xml:space="preserve">Annual Meeting Ballot Template  •  Standalone Drafts (Director Election, Special Assessment)  •  Inspector of Election Tally Sheet</w:t>
      </w:r>
    </w:p>
    <w:p>
      <w:pPr>
        <w:spacing w:after="40" w:before="0"/>
        <w:jc w:val="left"/>
      </w:pPr>
      <w:r>
        <w:rPr>
          <w:rFonts w:ascii="Lato" w:cs="Lato" w:eastAsia="Lato" w:hAnsi="Lato"/>
          <w:b/>
          <w:bCs/>
          <w:color w:val="C9A24A"/>
          <w:spacing w:val="100"/>
          <w:sz w:val="16"/>
          <w:szCs w:val="16"/>
        </w:rPr>
        <w:t xml:space="preserve">PUBLISHED BY</w:t>
      </w:r>
    </w:p>
    <w:p>
      <w:pPr>
        <w:spacing w:after="0" w:before="0"/>
        <w:jc w:val="left"/>
      </w:pPr>
      <w:r>
        <w:rPr>
          <w:rFonts w:ascii="Lato" w:cs="Lato" w:eastAsia="Lato" w:hAnsi="Lato"/>
          <w:b/>
          <w:bCs/>
          <w:color w:val="1A1A1A"/>
          <w:sz w:val="22"/>
          <w:szCs w:val="22"/>
        </w:rPr>
        <w:t xml:space="preserve">Common Interest Community Standards Council  </w:t>
      </w:r>
      <w:r>
        <w:rPr>
          <w:rFonts w:ascii="Lato" w:cs="Lato" w:eastAsia="Lato" w:hAnsi="Lato"/>
          <w:color w:val="173F35"/>
          <w:sz w:val="22"/>
          <w:szCs w:val="22"/>
        </w:rPr>
        <w:t xml:space="preserve">•  CIC-SC.org</w:t>
      </w:r>
    </w:p>
    <w:p>
      <w:r>
        <w:br w:type="page"/>
      </w:r>
    </w:p>
    <w:p>
      <w:pPr>
        <w:sectPr>
          <w:headerReference w:type="default" r:id="rId7"/>
          <w:footerReference w:type="default" r:id="rId8"/>
          <w:pgSz w:w="12240" w:h="15840" w:orient="portrait"/>
          <w:pgMar w:top="0" w:right="1080" w:bottom="720" w:left="1080" w:header="0" w:footer="360" w:gutter="0"/>
          <w:pgNumType/>
          <w:docGrid w:linePitch="360"/>
        </w:sectPr>
      </w:pPr>
    </w:p>
    <w:p>
      <w:pPr>
        <w:spacing w:after="60" w:before="0"/>
      </w:pPr>
      <w:r>
        <w:rPr>
          <w:rFonts w:ascii="Lato" w:cs="Lato" w:eastAsia="Lato" w:hAnsi="Lato"/>
          <w:b/>
          <w:bCs/>
          <w:color w:val="C9A24A"/>
          <w:spacing w:val="100"/>
          <w:sz w:val="16"/>
          <w:szCs w:val="16"/>
        </w:rPr>
        <w:t xml:space="preserve">EXECUTIVE SUMMARY</w:t>
      </w:r>
    </w:p>
    <w:p>
      <w:pPr>
        <w:pStyle w:val="Heading1"/>
        <w:spacing w:after="160" w:before="280"/>
      </w:pPr>
      <w:r>
        <w:rPr>
          <w:rFonts w:ascii="Garamond" w:cs="Garamond" w:eastAsia="Garamond" w:hAnsi="Garamond"/>
          <w:b/>
          <w:bCs/>
          <w:color w:val="173F35"/>
          <w:sz w:val="40"/>
          <w:szCs w:val="40"/>
        </w:rPr>
        <w:t xml:space="preserve">In Brief</w:t>
      </w:r>
    </w:p>
    <w:p>
      <w:pPr>
        <w:pBdr>
          <w:bottom w:val="single" w:color="C9A24A" w:sz="8" w:space="1"/>
        </w:pBdr>
        <w:spacing w:after="120" w:before="80"/>
      </w:pPr>
      <w:r>
        <w:t xml:space="preserve"/>
      </w:r>
    </w:p>
    <w:p>
      <w:pPr>
        <w:spacing w:after="120" w:before="0" w:line="320"/>
        <w:jc w:val="left"/>
      </w:pPr>
      <w:r>
        <w:rPr>
          <w:rFonts w:ascii="Lato" w:cs="Lato" w:eastAsia="Lato" w:hAnsi="Lato"/>
          <w:color w:val="1A1A1A"/>
          <w:sz w:val="22"/>
          <w:szCs w:val="22"/>
        </w:rPr>
        <w:t xml:space="preserve">The annual meeting and election is the highest-visibility governance event of the year. A clean meeting reinforces owner trust; a messy one can produce contested elections, lawsuits, and years of community disruption. The work fits comfortably into a 60–90 day calendar if it is started on time and followed through with discipline.</w:t>
      </w:r>
    </w:p>
    <w:p>
      <w:pPr>
        <w:spacing w:after="120" w:before="0" w:line="320"/>
        <w:jc w:val="left"/>
      </w:pPr>
      <w:r>
        <w:rPr>
          <w:rFonts w:ascii="Lato" w:cs="Lato" w:eastAsia="Lato" w:hAnsi="Lato"/>
          <w:color w:val="1A1A1A"/>
          <w:sz w:val="22"/>
          <w:szCs w:val="22"/>
        </w:rPr>
        <w:t xml:space="preserve">This guide explains how to run the annual meeting and election at the standard the membership deserves: when to notice, how to solicit candidates, how to design the ballot, how to administer voting, how to count, and how to certify the result. It pairs with the CIC-SC Annual Meeting Ballot Template.</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73F35" w:sz="4"/>
              <w:left w:val="single" w:color="173F35" w:sz="24"/>
              <w:bottom w:val="single" w:color="173F35" w:sz="4"/>
              <w:right w:val="single" w:color="173F35" w:sz="4"/>
            </w:tcBorders>
            <w:shd w:fill="DDE7E2"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IN ONE PARAGRAPH</w:t>
            </w:r>
          </w:p>
          <w:p>
            <w:pPr>
              <w:spacing w:after="0" w:before="0" w:line="300"/>
              <w:jc w:val="left"/>
            </w:pPr>
            <w:r>
              <w:rPr>
                <w:rFonts w:ascii="Lato" w:cs="Lato" w:eastAsia="Lato" w:hAnsi="Lato"/>
                <w:color w:val="1A1A1A"/>
                <w:sz w:val="22"/>
                <w:szCs w:val="22"/>
              </w:rPr>
              <w:t xml:space="preserve">Set the meeting date 90 days out. Open candidate nominations 60 days out. Send the meeting notice on the statutory schedule (10–60 days before, depending on state and association type). Distribute ballots with proper disclosures and a two-envelope system where Florida law requires. Designate an Inspector of Election. Receive ballots through the deadline. Count in public at the meeting. Certify in writing. File the records. That is the practice.</w:t>
            </w:r>
          </w:p>
        </w:tc>
      </w:tr>
    </w:tbl>
    <w:p>
      <w:r>
        <w:br w:type="page"/>
      </w:r>
    </w:p>
    <w:p>
      <w:pPr>
        <w:spacing w:after="60" w:before="0"/>
      </w:pPr>
      <w:r>
        <w:rPr>
          <w:rFonts w:ascii="Lato" w:cs="Lato" w:eastAsia="Lato" w:hAnsi="Lato"/>
          <w:b/>
          <w:bCs/>
          <w:color w:val="C9A24A"/>
          <w:spacing w:val="100"/>
          <w:sz w:val="16"/>
          <w:szCs w:val="16"/>
        </w:rPr>
        <w:t xml:space="preserve">WHY THIS MATTERS</w:t>
      </w:r>
    </w:p>
    <w:p>
      <w:pPr>
        <w:pStyle w:val="Heading1"/>
        <w:spacing w:after="160" w:before="280"/>
      </w:pPr>
      <w:r>
        <w:rPr>
          <w:rFonts w:ascii="Garamond" w:cs="Garamond" w:eastAsia="Garamond" w:hAnsi="Garamond"/>
          <w:b/>
          <w:bCs/>
          <w:color w:val="173F35"/>
          <w:sz w:val="40"/>
          <w:szCs w:val="40"/>
        </w:rPr>
        <w:t xml:space="preserve">Why Procedure Matters More than Outcome</w:t>
      </w:r>
    </w:p>
    <w:p>
      <w:pPr>
        <w:pBdr>
          <w:bottom w:val="single" w:color="C9A24A" w:sz="8" w:space="1"/>
        </w:pBdr>
        <w:spacing w:after="120" w:before="80"/>
      </w:pPr>
      <w:r>
        <w:t xml:space="preserve"/>
      </w:r>
    </w:p>
    <w:p>
      <w:pPr>
        <w:spacing w:after="120" w:before="0" w:line="320"/>
        <w:jc w:val="left"/>
      </w:pPr>
      <w:r>
        <w:rPr>
          <w:rFonts w:ascii="Lato" w:cs="Lato" w:eastAsia="Lato" w:hAnsi="Lato"/>
          <w:color w:val="1A1A1A"/>
          <w:sz w:val="22"/>
          <w:szCs w:val="22"/>
        </w:rPr>
        <w:t xml:space="preserve">Most associations care about their elections in two moments: the moment a director loses by a narrow margin, and the moment a long-term incumbent steps down without a clear successor. Both moments stress the procedural framework. An election conducted without proper notice, without proper ballot disclosures, without inspector verification, or without a clear quorum determination can be set aside on challenge — even if everyone involved agrees the substantive outcome was the right one.</w:t>
      </w:r>
    </w:p>
    <w:p>
      <w:pPr>
        <w:spacing w:after="200" w:before="0" w:line="320"/>
        <w:jc w:val="left"/>
      </w:pPr>
      <w:r>
        <w:rPr>
          <w:rFonts w:ascii="Lato" w:cs="Lato" w:eastAsia="Lato" w:hAnsi="Lato"/>
          <w:color w:val="1A1A1A"/>
          <w:sz w:val="22"/>
          <w:szCs w:val="22"/>
        </w:rPr>
        <w:t xml:space="preserve">The procedures protect outcomes; they do not produce them. A board that runs the same election the same way every year, with the same notice cadence and the same inspector procedures, builds institutional credibility that pays off in every other governance moment — budget ratification, capital projects, vendor awards, code of ethics enforcement. The annual meeting is the foundation.</w:t>
      </w:r>
    </w:p>
    <w:p>
      <w:r>
        <w:br w:type="page"/>
      </w:r>
    </w:p>
    <w:p>
      <w:pPr>
        <w:spacing w:after="60" w:before="0"/>
      </w:pPr>
      <w:r>
        <w:rPr>
          <w:rFonts w:ascii="Lato" w:cs="Lato" w:eastAsia="Lato" w:hAnsi="Lato"/>
          <w:b/>
          <w:bCs/>
          <w:color w:val="C9A24A"/>
          <w:spacing w:val="100"/>
          <w:sz w:val="16"/>
          <w:szCs w:val="16"/>
        </w:rPr>
        <w:t xml:space="preserve">THE PROCESS</w:t>
      </w:r>
    </w:p>
    <w:p>
      <w:pPr>
        <w:pStyle w:val="Heading1"/>
        <w:spacing w:after="160" w:before="280"/>
      </w:pPr>
      <w:r>
        <w:rPr>
          <w:rFonts w:ascii="Garamond" w:cs="Garamond" w:eastAsia="Garamond" w:hAnsi="Garamond"/>
          <w:b/>
          <w:bCs/>
          <w:color w:val="173F35"/>
          <w:sz w:val="40"/>
          <w:szCs w:val="40"/>
        </w:rPr>
        <w:t xml:space="preserve">A Ninety-Day Path from Notice to Certification</w:t>
      </w:r>
    </w:p>
    <w:p>
      <w:pPr>
        <w:pBdr>
          <w:bottom w:val="single" w:color="C9A24A" w:sz="8" w:space="1"/>
        </w:pBdr>
        <w:spacing w:after="120" w:before="80"/>
      </w:pPr>
      <w:r>
        <w:t xml:space="preserve"/>
      </w:r>
    </w:p>
    <w:p>
      <w:pPr>
        <w:spacing w:after="160" w:before="0" w:line="320"/>
        <w:jc w:val="left"/>
      </w:pPr>
      <w:r>
        <w:rPr>
          <w:rFonts w:ascii="Lato" w:cs="Lato" w:eastAsia="Lato" w:hAnsi="Lato"/>
          <w:color w:val="1A1A1A"/>
          <w:sz w:val="22"/>
          <w:szCs w:val="22"/>
        </w:rPr>
        <w:t xml:space="preserve">Use this sequence as a checklist. Adjust to your state law and governing documents — the cadence below reflects a typical HOA or condominium under Tex. Prop. Code Ch. 209 or Fla. Stat. Ch. 718 / 720.</w:t>
      </w:r>
    </w:p>
    <w:p>
      <w:pPr>
        <w:pStyle w:val="ListParagraph"/>
        <w:numPr>
          <w:ilvl w:val="0"/>
          <w:numId w:val="2"/>
        </w:numPr>
        <w:spacing w:after="100" w:before="60" w:line="300"/>
      </w:pPr>
      <w:r>
        <w:rPr>
          <w:rFonts w:ascii="Lato" w:cs="Lato" w:eastAsia="Lato" w:hAnsi="Lato"/>
          <w:color w:val="1A1A1A"/>
          <w:sz w:val="22"/>
          <w:szCs w:val="22"/>
        </w:rPr>
        <w:t xml:space="preserve">Day 90 — Set the meeting date by Board resolution at a properly noticed open meeting. Confirm the date against the governing documents (often the bylaws require a particular month or week). Reserve the meeting location.</w:t>
      </w:r>
    </w:p>
    <w:p>
      <w:pPr>
        <w:pStyle w:val="ListParagraph"/>
        <w:numPr>
          <w:ilvl w:val="0"/>
          <w:numId w:val="2"/>
        </w:numPr>
        <w:spacing w:after="100" w:before="60" w:line="300"/>
      </w:pPr>
      <w:r>
        <w:rPr>
          <w:rFonts w:ascii="Lato" w:cs="Lato" w:eastAsia="Lato" w:hAnsi="Lato"/>
          <w:color w:val="1A1A1A"/>
          <w:sz w:val="22"/>
          <w:szCs w:val="22"/>
        </w:rPr>
        <w:t xml:space="preserve">Day 85 — Identify board seats up for election. Confirm the term lengths in the bylaws and the record of expirations on the Board roster.</w:t>
      </w:r>
    </w:p>
    <w:p>
      <w:pPr>
        <w:pStyle w:val="ListParagraph"/>
        <w:numPr>
          <w:ilvl w:val="0"/>
          <w:numId w:val="2"/>
        </w:numPr>
        <w:spacing w:after="100" w:before="60" w:line="300"/>
      </w:pPr>
      <w:r>
        <w:rPr>
          <w:rFonts w:ascii="Lato" w:cs="Lato" w:eastAsia="Lato" w:hAnsi="Lato"/>
          <w:color w:val="1A1A1A"/>
          <w:sz w:val="22"/>
          <w:szCs w:val="22"/>
        </w:rPr>
        <w:t xml:space="preserve">Day 80 — Open candidate nominations. Distribute a candidate nomination form and an open candidate-information form. Require nominations in writing by the close of the nomination period.</w:t>
      </w:r>
    </w:p>
    <w:p>
      <w:pPr>
        <w:pStyle w:val="ListParagraph"/>
        <w:numPr>
          <w:ilvl w:val="0"/>
          <w:numId w:val="2"/>
        </w:numPr>
        <w:spacing w:after="100" w:before="60" w:line="300"/>
      </w:pPr>
      <w:r>
        <w:rPr>
          <w:rFonts w:ascii="Lato" w:cs="Lato" w:eastAsia="Lato" w:hAnsi="Lato"/>
          <w:color w:val="1A1A1A"/>
          <w:sz w:val="22"/>
          <w:szCs w:val="22"/>
        </w:rPr>
        <w:t xml:space="preserve">Day 60 — Close candidate nominations. Confirm candidate eligibility (ownership, account in good standing under governing documents and state law, disclosure of any conflicts).</w:t>
      </w:r>
    </w:p>
    <w:p>
      <w:pPr>
        <w:pStyle w:val="ListParagraph"/>
        <w:numPr>
          <w:ilvl w:val="0"/>
          <w:numId w:val="2"/>
        </w:numPr>
        <w:spacing w:after="100" w:before="60" w:line="300"/>
      </w:pPr>
      <w:r>
        <w:rPr>
          <w:rFonts w:ascii="Lato" w:cs="Lato" w:eastAsia="Lato" w:hAnsi="Lato"/>
          <w:color w:val="1A1A1A"/>
          <w:sz w:val="22"/>
          <w:szCs w:val="22"/>
        </w:rPr>
        <w:t xml:space="preserve">Day 50 — Designate the Inspector(s) of Election. A neutral third party (often the Manager or an outside accountant / attorney) or two-member committee is preferred. The Inspector should not be a candidate.</w:t>
      </w:r>
    </w:p>
    <w:p>
      <w:pPr>
        <w:pStyle w:val="ListParagraph"/>
        <w:numPr>
          <w:ilvl w:val="0"/>
          <w:numId w:val="2"/>
        </w:numPr>
        <w:spacing w:after="100" w:before="60" w:line="300"/>
      </w:pPr>
      <w:r>
        <w:rPr>
          <w:rFonts w:ascii="Lato" w:cs="Lato" w:eastAsia="Lato" w:hAnsi="Lato"/>
          <w:color w:val="1A1A1A"/>
          <w:sz w:val="22"/>
          <w:szCs w:val="22"/>
        </w:rPr>
        <w:t xml:space="preserve">Day 45 — Mail the meeting notice and ballot package. Florida condominium first notice is 60 days; second notice (with ballot) is 14 days. Texas HOAs follow Tex. Prop. Code § 209.0051 and the governing documents. Include the ballot, the two envelopes (inner / outer), return instructions, and any candidate biographies.</w:t>
      </w:r>
    </w:p>
    <w:p>
      <w:pPr>
        <w:pStyle w:val="ListParagraph"/>
        <w:numPr>
          <w:ilvl w:val="0"/>
          <w:numId w:val="2"/>
        </w:numPr>
        <w:spacing w:after="100" w:before="60" w:line="300"/>
      </w:pPr>
      <w:r>
        <w:rPr>
          <w:rFonts w:ascii="Lato" w:cs="Lato" w:eastAsia="Lato" w:hAnsi="Lato"/>
          <w:color w:val="1A1A1A"/>
          <w:sz w:val="22"/>
          <w:szCs w:val="22"/>
        </w:rPr>
        <w:t xml:space="preserve">Day 14 — Final reminder. Email or mail a friendly reminder to all members with the return deadline and the meeting location / virtual link.</w:t>
      </w:r>
    </w:p>
    <w:p>
      <w:pPr>
        <w:pStyle w:val="ListParagraph"/>
        <w:numPr>
          <w:ilvl w:val="0"/>
          <w:numId w:val="2"/>
        </w:numPr>
        <w:spacing w:after="100" w:before="60" w:line="300"/>
      </w:pPr>
      <w:r>
        <w:rPr>
          <w:rFonts w:ascii="Lato" w:cs="Lato" w:eastAsia="Lato" w:hAnsi="Lato"/>
          <w:color w:val="1A1A1A"/>
          <w:sz w:val="22"/>
          <w:szCs w:val="22"/>
        </w:rPr>
        <w:t xml:space="preserve">Day 0 — Meeting day. Confirm quorum. Receive any in-person ballots. Count under the supervision of the Inspector(s) of Election. Announce the results. Adjourn.</w:t>
      </w:r>
    </w:p>
    <w:p>
      <w:pPr>
        <w:pStyle w:val="ListParagraph"/>
        <w:numPr>
          <w:ilvl w:val="0"/>
          <w:numId w:val="2"/>
        </w:numPr>
        <w:spacing w:after="100" w:before="60" w:line="300"/>
      </w:pPr>
      <w:r>
        <w:rPr>
          <w:rFonts w:ascii="Lato" w:cs="Lato" w:eastAsia="Lato" w:hAnsi="Lato"/>
          <w:color w:val="1A1A1A"/>
          <w:sz w:val="22"/>
          <w:szCs w:val="22"/>
        </w:rPr>
        <w:t xml:space="preserve">Day +1 — Certify the results in writing. The Inspector’s tally sheet, the executed ballots, and the meeting minutes form the permanent record of the election.</w:t>
      </w:r>
    </w:p>
    <w:p>
      <w:pPr>
        <w:pStyle w:val="ListParagraph"/>
        <w:numPr>
          <w:ilvl w:val="0"/>
          <w:numId w:val="2"/>
        </w:numPr>
        <w:spacing w:after="100" w:before="60" w:line="300"/>
      </w:pPr>
      <w:r>
        <w:rPr>
          <w:rFonts w:ascii="Lato" w:cs="Lato" w:eastAsia="Lato" w:hAnsi="Lato"/>
          <w:color w:val="1A1A1A"/>
          <w:sz w:val="22"/>
          <w:szCs w:val="22"/>
        </w:rPr>
        <w:t xml:space="preserve">Day +30 — Seat the new directors. Hold the first organizational meeting of the new Board (officer election, calendar reset, code of ethics re-acknowledgment).</w:t>
      </w:r>
    </w:p>
    <w:p>
      <w:r>
        <w:br w:type="page"/>
      </w:r>
    </w:p>
    <w:p>
      <w:pPr>
        <w:spacing w:after="60" w:before="0"/>
      </w:pPr>
      <w:r>
        <w:rPr>
          <w:rFonts w:ascii="Lato" w:cs="Lato" w:eastAsia="Lato" w:hAnsi="Lato"/>
          <w:b/>
          <w:bCs/>
          <w:color w:val="C9A24A"/>
          <w:spacing w:val="100"/>
          <w:sz w:val="16"/>
          <w:szCs w:val="16"/>
        </w:rPr>
        <w:t xml:space="preserve">CANDIDATE SOLICITATION</w:t>
      </w:r>
    </w:p>
    <w:p>
      <w:pPr>
        <w:pStyle w:val="Heading1"/>
        <w:spacing w:after="160" w:before="280"/>
      </w:pPr>
      <w:r>
        <w:rPr>
          <w:rFonts w:ascii="Garamond" w:cs="Garamond" w:eastAsia="Garamond" w:hAnsi="Garamond"/>
          <w:b/>
          <w:bCs/>
          <w:color w:val="173F35"/>
          <w:sz w:val="40"/>
          <w:szCs w:val="40"/>
        </w:rPr>
        <w:t xml:space="preserve">Soliciting Candidates</w:t>
      </w:r>
    </w:p>
    <w:p>
      <w:pPr>
        <w:pBdr>
          <w:bottom w:val="single" w:color="C9A24A" w:sz="8" w:space="1"/>
        </w:pBdr>
        <w:spacing w:after="120" w:before="80"/>
      </w:pPr>
      <w:r>
        <w:t xml:space="preserve"/>
      </w:r>
    </w:p>
    <w:p>
      <w:pPr>
        <w:spacing w:after="160" w:before="0" w:line="320"/>
        <w:jc w:val="left"/>
      </w:pPr>
      <w:r>
        <w:rPr>
          <w:rFonts w:ascii="Lato" w:cs="Lato" w:eastAsia="Lato" w:hAnsi="Lato"/>
          <w:color w:val="1A1A1A"/>
          <w:sz w:val="22"/>
          <w:szCs w:val="22"/>
        </w:rPr>
        <w:t xml:space="preserve">A contested election with three or more qualified candidates per seat is healthier than an uncontested election. Most associations do not have enough volunteers; the candidate solicitation process is one of the most important things a board does each year.</w:t>
      </w:r>
    </w:p>
    <w:p>
      <w:pPr>
        <w:pStyle w:val="Heading3"/>
        <w:spacing w:after="160" w:before="280"/>
      </w:pPr>
      <w:r>
        <w:rPr>
          <w:rFonts w:ascii="Garamond" w:cs="Garamond" w:eastAsia="Garamond" w:hAnsi="Garamond"/>
          <w:b/>
          <w:bCs/>
          <w:color w:val="173F35"/>
          <w:sz w:val="26"/>
          <w:szCs w:val="26"/>
        </w:rPr>
        <w:t xml:space="preserve">Where to find candidates</w:t>
      </w:r>
    </w:p>
    <w:p>
      <w:pPr>
        <w:pStyle w:val="ListParagraph"/>
        <w:numPr>
          <w:ilvl w:val="0"/>
          <w:numId w:val="3"/>
        </w:numPr>
        <w:spacing w:after="60" w:before="40" w:line="290"/>
      </w:pPr>
      <w:r>
        <w:rPr>
          <w:rFonts w:ascii="Lato" w:cs="Lato" w:eastAsia="Lato" w:hAnsi="Lato"/>
          <w:color w:val="1A1A1A"/>
          <w:sz w:val="22"/>
          <w:szCs w:val="22"/>
        </w:rPr>
        <w:t xml:space="preserve">Current committee members — already engaged and likely to run.</w:t>
      </w:r>
    </w:p>
    <w:p>
      <w:pPr>
        <w:pStyle w:val="ListParagraph"/>
        <w:numPr>
          <w:ilvl w:val="0"/>
          <w:numId w:val="3"/>
        </w:numPr>
        <w:spacing w:after="60" w:before="40" w:line="290"/>
      </w:pPr>
      <w:r>
        <w:rPr>
          <w:rFonts w:ascii="Lato" w:cs="Lato" w:eastAsia="Lato" w:hAnsi="Lato"/>
          <w:color w:val="1A1A1A"/>
          <w:sz w:val="22"/>
          <w:szCs w:val="22"/>
        </w:rPr>
        <w:t xml:space="preserve">Volunteers from recent community events, town halls, or owner working groups.</w:t>
      </w:r>
    </w:p>
    <w:p>
      <w:pPr>
        <w:pStyle w:val="ListParagraph"/>
        <w:numPr>
          <w:ilvl w:val="0"/>
          <w:numId w:val="3"/>
        </w:numPr>
        <w:spacing w:after="60" w:before="40" w:line="290"/>
      </w:pPr>
      <w:r>
        <w:rPr>
          <w:rFonts w:ascii="Lato" w:cs="Lato" w:eastAsia="Lato" w:hAnsi="Lato"/>
          <w:color w:val="1A1A1A"/>
          <w:sz w:val="22"/>
          <w:szCs w:val="22"/>
        </w:rPr>
        <w:t xml:space="preserve">Owners who have submitted thoughtful written comments at recent Board meetings.</w:t>
      </w:r>
    </w:p>
    <w:p>
      <w:pPr>
        <w:pStyle w:val="ListParagraph"/>
        <w:numPr>
          <w:ilvl w:val="0"/>
          <w:numId w:val="3"/>
        </w:numPr>
        <w:spacing w:after="60" w:before="40" w:line="290"/>
      </w:pPr>
      <w:r>
        <w:rPr>
          <w:rFonts w:ascii="Lato" w:cs="Lato" w:eastAsia="Lato" w:hAnsi="Lato"/>
          <w:color w:val="1A1A1A"/>
          <w:sz w:val="22"/>
          <w:szCs w:val="22"/>
        </w:rPr>
        <w:t xml:space="preserve">Recent purchasers — often interested in shaping the community they have just joined.</w:t>
      </w:r>
    </w:p>
    <w:p>
      <w:pPr>
        <w:pStyle w:val="ListParagraph"/>
        <w:numPr>
          <w:ilvl w:val="0"/>
          <w:numId w:val="3"/>
        </w:numPr>
        <w:spacing w:after="60" w:before="40" w:line="290"/>
      </w:pPr>
      <w:r>
        <w:rPr>
          <w:rFonts w:ascii="Lato" w:cs="Lato" w:eastAsia="Lato" w:hAnsi="Lato"/>
          <w:color w:val="1A1A1A"/>
          <w:sz w:val="22"/>
          <w:szCs w:val="22"/>
        </w:rPr>
        <w:t xml:space="preserve">Former directors who stepped down for personal-time reasons but may be ready to return.</w:t>
      </w:r>
    </w:p>
    <w:p>
      <w:pPr>
        <w:pStyle w:val="Heading3"/>
        <w:spacing w:after="160" w:before="280"/>
      </w:pPr>
      <w:r>
        <w:rPr>
          <w:rFonts w:ascii="Garamond" w:cs="Garamond" w:eastAsia="Garamond" w:hAnsi="Garamond"/>
          <w:b/>
          <w:bCs/>
          <w:color w:val="173F35"/>
          <w:sz w:val="26"/>
          <w:szCs w:val="26"/>
        </w:rPr>
        <w:t xml:space="preserve">Candidate eligibility — confirm before nomination closes</w:t>
      </w:r>
    </w:p>
    <w:p>
      <w:pPr>
        <w:pStyle w:val="ListParagraph"/>
        <w:numPr>
          <w:ilvl w:val="0"/>
          <w:numId w:val="3"/>
        </w:numPr>
        <w:spacing w:after="60" w:before="40" w:line="290"/>
      </w:pPr>
      <w:r>
        <w:rPr>
          <w:rFonts w:ascii="Lato" w:cs="Lato" w:eastAsia="Lato" w:hAnsi="Lato"/>
          <w:color w:val="1A1A1A"/>
          <w:sz w:val="22"/>
          <w:szCs w:val="22"/>
        </w:rPr>
        <w:t xml:space="preserve">Ownership of record as of the record date in the meeting notice.</w:t>
      </w:r>
    </w:p>
    <w:p>
      <w:pPr>
        <w:pStyle w:val="ListParagraph"/>
        <w:numPr>
          <w:ilvl w:val="0"/>
          <w:numId w:val="3"/>
        </w:numPr>
        <w:spacing w:after="60" w:before="40" w:line="290"/>
      </w:pPr>
      <w:r>
        <w:rPr>
          <w:rFonts w:ascii="Lato" w:cs="Lato" w:eastAsia="Lato" w:hAnsi="Lato"/>
          <w:color w:val="1A1A1A"/>
          <w:sz w:val="22"/>
          <w:szCs w:val="22"/>
        </w:rPr>
        <w:t xml:space="preserve">Account in good standing per governing documents and state law.</w:t>
      </w:r>
    </w:p>
    <w:p>
      <w:pPr>
        <w:pStyle w:val="ListParagraph"/>
        <w:numPr>
          <w:ilvl w:val="0"/>
          <w:numId w:val="3"/>
        </w:numPr>
        <w:spacing w:after="60" w:before="40" w:line="290"/>
      </w:pPr>
      <w:r>
        <w:rPr>
          <w:rFonts w:ascii="Lato" w:cs="Lato" w:eastAsia="Lato" w:hAnsi="Lato"/>
          <w:color w:val="1A1A1A"/>
          <w:sz w:val="22"/>
          <w:szCs w:val="22"/>
        </w:rPr>
        <w:t xml:space="preserve">No disqualifying criminal conviction (governing documents may impose a standard; Florida statute imposes one).</w:t>
      </w:r>
    </w:p>
    <w:p>
      <w:pPr>
        <w:pStyle w:val="ListParagraph"/>
        <w:numPr>
          <w:ilvl w:val="0"/>
          <w:numId w:val="3"/>
        </w:numPr>
        <w:spacing w:after="60" w:before="40" w:line="290"/>
      </w:pPr>
      <w:r>
        <w:rPr>
          <w:rFonts w:ascii="Lato" w:cs="Lato" w:eastAsia="Lato" w:hAnsi="Lato"/>
          <w:color w:val="1A1A1A"/>
          <w:sz w:val="22"/>
          <w:szCs w:val="22"/>
        </w:rPr>
        <w:t xml:space="preserve">Florida condominium directors: Fla. Stat. § 718.112(2)(d) candidate eligibility provisions.</w:t>
      </w:r>
    </w:p>
    <w:p>
      <w:pPr>
        <w:pStyle w:val="ListParagraph"/>
        <w:numPr>
          <w:ilvl w:val="0"/>
          <w:numId w:val="3"/>
        </w:numPr>
        <w:spacing w:after="60" w:before="40" w:line="290"/>
      </w:pPr>
      <w:r>
        <w:rPr>
          <w:rFonts w:ascii="Lato" w:cs="Lato" w:eastAsia="Lato" w:hAnsi="Lato"/>
          <w:color w:val="1A1A1A"/>
          <w:sz w:val="22"/>
          <w:szCs w:val="22"/>
        </w:rPr>
        <w:t xml:space="preserve">Florida HOA directors: Fla. Stat. § 720.306 candidate eligibility provisions.</w:t>
      </w:r>
    </w:p>
    <w:p>
      <w:pPr>
        <w:pStyle w:val="ListParagraph"/>
        <w:numPr>
          <w:ilvl w:val="0"/>
          <w:numId w:val="3"/>
        </w:numPr>
        <w:spacing w:after="60" w:before="40" w:line="290"/>
      </w:pPr>
      <w:r>
        <w:rPr>
          <w:rFonts w:ascii="Lato" w:cs="Lato" w:eastAsia="Lato" w:hAnsi="Lato"/>
          <w:color w:val="1A1A1A"/>
          <w:sz w:val="22"/>
          <w:szCs w:val="22"/>
        </w:rPr>
        <w:t xml:space="preserve">Texas HOA directors: Tex. Prop. Code Ch. 209 and the Association’s governing documents.</w:t>
      </w:r>
    </w:p>
    <w:p>
      <w:pPr>
        <w:spacing w:after="8" w:before="8"/>
      </w:pPr>
      <w:r>
        <w:rPr>
          <w:sz w:val="2"/>
          <w:szCs w:val="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24A" w:sz="4"/>
              <w:left w:val="single" w:color="C9A24A" w:sz="24"/>
              <w:bottom w:val="single" w:color="C9A24A" w:sz="4"/>
              <w:right w:val="single" w:color="C9A24A" w:sz="4"/>
            </w:tcBorders>
            <w:shd w:fill="EAE2C7"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CANDIDATE INFORMATION SHEET</w:t>
            </w:r>
          </w:p>
          <w:p>
            <w:pPr>
              <w:spacing w:after="0" w:before="0" w:line="300"/>
              <w:jc w:val="left"/>
            </w:pPr>
            <w:r>
              <w:rPr>
                <w:rFonts w:ascii="Lato" w:cs="Lato" w:eastAsia="Lato" w:hAnsi="Lato"/>
                <w:color w:val="1A1A1A"/>
                <w:sz w:val="22"/>
                <w:szCs w:val="22"/>
              </w:rPr>
              <w:t xml:space="preserve">Provide candidates a short structured form on which to share background. Limit to 200 words and one optional photo. Distribute exactly as submitted; do not edit candidate statements. Distributing identical candidate information for all candidates protects the Board from claims of favoritism.</w:t>
            </w:r>
          </w:p>
        </w:tc>
      </w:tr>
    </w:tbl>
    <w:p>
      <w:r>
        <w:br w:type="page"/>
      </w:r>
    </w:p>
    <w:p>
      <w:pPr>
        <w:spacing w:after="60" w:before="0"/>
      </w:pPr>
      <w:r>
        <w:rPr>
          <w:rFonts w:ascii="Lato" w:cs="Lato" w:eastAsia="Lato" w:hAnsi="Lato"/>
          <w:b/>
          <w:bCs/>
          <w:color w:val="C9A24A"/>
          <w:spacing w:val="100"/>
          <w:sz w:val="16"/>
          <w:szCs w:val="16"/>
        </w:rPr>
        <w:t xml:space="preserve">NOTICE RULES</w:t>
      </w:r>
    </w:p>
    <w:p>
      <w:pPr>
        <w:pStyle w:val="Heading1"/>
        <w:spacing w:after="160" w:before="280"/>
      </w:pPr>
      <w:r>
        <w:rPr>
          <w:rFonts w:ascii="Garamond" w:cs="Garamond" w:eastAsia="Garamond" w:hAnsi="Garamond"/>
          <w:b/>
          <w:bCs/>
          <w:color w:val="173F35"/>
          <w:sz w:val="40"/>
          <w:szCs w:val="40"/>
        </w:rPr>
        <w:t xml:space="preserve">Notice Requirements</w:t>
      </w:r>
    </w:p>
    <w:p>
      <w:pPr>
        <w:pBdr>
          <w:bottom w:val="single" w:color="C9A24A" w:sz="8" w:space="1"/>
        </w:pBdr>
        <w:spacing w:after="120" w:before="80"/>
      </w:pPr>
      <w:r>
        <w:t xml:space="preserve"/>
      </w:r>
    </w:p>
    <w:p>
      <w:pPr>
        <w:spacing w:after="160" w:before="0" w:line="320"/>
        <w:jc w:val="left"/>
      </w:pPr>
      <w:r>
        <w:rPr>
          <w:rFonts w:ascii="Lato" w:cs="Lato" w:eastAsia="Lato" w:hAnsi="Lato"/>
          <w:color w:val="1A1A1A"/>
          <w:sz w:val="22"/>
          <w:szCs w:val="22"/>
        </w:rPr>
        <w:t xml:space="preserve">Notice is the single most-litigated issue in association elections. Get it right and the election is durable; get it wrong and the election can be set aside even if the substantive vote was clear.</w:t>
      </w:r>
    </w:p>
    <w:p>
      <w:pPr>
        <w:pStyle w:val="Heading3"/>
        <w:spacing w:after="160" w:before="280"/>
      </w:pPr>
      <w:r>
        <w:rPr>
          <w:rFonts w:ascii="Garamond" w:cs="Garamond" w:eastAsia="Garamond" w:hAnsi="Garamond"/>
          <w:b/>
          <w:bCs/>
          <w:color w:val="173F35"/>
          <w:sz w:val="26"/>
          <w:szCs w:val="26"/>
        </w:rPr>
        <w:t xml:space="preserve">Texas HOA — Tex. Prop. Code Ch. 209</w:t>
      </w:r>
    </w:p>
    <w:p>
      <w:pPr>
        <w:pStyle w:val="ListParagraph"/>
        <w:numPr>
          <w:ilvl w:val="0"/>
          <w:numId w:val="3"/>
        </w:numPr>
        <w:spacing w:after="60" w:before="40" w:line="290"/>
      </w:pPr>
      <w:r>
        <w:rPr>
          <w:rFonts w:ascii="Lato" w:cs="Lato" w:eastAsia="Lato" w:hAnsi="Lato"/>
          <w:color w:val="1A1A1A"/>
          <w:sz w:val="22"/>
          <w:szCs w:val="22"/>
        </w:rPr>
        <w:t xml:space="preserve">§ 209.0051 — Open-meeting and notice requirements; specific timing requirements for member meetings.</w:t>
      </w:r>
    </w:p>
    <w:p>
      <w:pPr>
        <w:pStyle w:val="ListParagraph"/>
        <w:numPr>
          <w:ilvl w:val="0"/>
          <w:numId w:val="3"/>
        </w:numPr>
        <w:spacing w:after="60" w:before="40" w:line="290"/>
      </w:pPr>
      <w:r>
        <w:rPr>
          <w:rFonts w:ascii="Lato" w:cs="Lato" w:eastAsia="Lato" w:hAnsi="Lato"/>
          <w:color w:val="1A1A1A"/>
          <w:sz w:val="22"/>
          <w:szCs w:val="22"/>
        </w:rPr>
        <w:t xml:space="preserve">§ 209.00592 — Voting; includes the absentee-ballot disclosure required on every absentee ballot (the language in Section 3 of the CIC-SC Ballot Template).</w:t>
      </w:r>
    </w:p>
    <w:p>
      <w:pPr>
        <w:pStyle w:val="ListParagraph"/>
        <w:numPr>
          <w:ilvl w:val="0"/>
          <w:numId w:val="3"/>
        </w:numPr>
        <w:spacing w:after="60" w:before="40" w:line="290"/>
      </w:pPr>
      <w:r>
        <w:rPr>
          <w:rFonts w:ascii="Lato" w:cs="Lato" w:eastAsia="Lato" w:hAnsi="Lato"/>
          <w:color w:val="1A1A1A"/>
          <w:sz w:val="22"/>
          <w:szCs w:val="22"/>
        </w:rPr>
        <w:t xml:space="preserve">§ 209.00591 — Composition of Board; removal procedures (relevant if a recall vote is anchored to the annual meeting).</w:t>
      </w:r>
    </w:p>
    <w:p>
      <w:pPr>
        <w:pStyle w:val="Heading3"/>
        <w:spacing w:after="160" w:before="280"/>
      </w:pPr>
      <w:r>
        <w:rPr>
          <w:rFonts w:ascii="Garamond" w:cs="Garamond" w:eastAsia="Garamond" w:hAnsi="Garamond"/>
          <w:b/>
          <w:bCs/>
          <w:color w:val="173F35"/>
          <w:sz w:val="26"/>
          <w:szCs w:val="26"/>
        </w:rPr>
        <w:t xml:space="preserve">Florida HOA — Fla. Stat. Ch. 720</w:t>
      </w:r>
    </w:p>
    <w:p>
      <w:pPr>
        <w:pStyle w:val="ListParagraph"/>
        <w:numPr>
          <w:ilvl w:val="0"/>
          <w:numId w:val="3"/>
        </w:numPr>
        <w:spacing w:after="60" w:before="40" w:line="290"/>
      </w:pPr>
      <w:r>
        <w:rPr>
          <w:rFonts w:ascii="Lato" w:cs="Lato" w:eastAsia="Lato" w:hAnsi="Lato"/>
          <w:color w:val="1A1A1A"/>
          <w:sz w:val="22"/>
          <w:szCs w:val="22"/>
        </w:rPr>
        <w:t xml:space="preserve">§ 720.306 — Meetings of members; voting and election procedures.</w:t>
      </w:r>
    </w:p>
    <w:p>
      <w:pPr>
        <w:pStyle w:val="ListParagraph"/>
        <w:numPr>
          <w:ilvl w:val="0"/>
          <w:numId w:val="3"/>
        </w:numPr>
        <w:spacing w:after="60" w:before="40" w:line="290"/>
      </w:pPr>
      <w:r>
        <w:rPr>
          <w:rFonts w:ascii="Lato" w:cs="Lato" w:eastAsia="Lato" w:hAnsi="Lato"/>
          <w:color w:val="1A1A1A"/>
          <w:sz w:val="22"/>
          <w:szCs w:val="22"/>
        </w:rPr>
        <w:t xml:space="preserve">Notice timing typically 14 days before the meeting (confirm under governing documents).</w:t>
      </w:r>
    </w:p>
    <w:p>
      <w:pPr>
        <w:pStyle w:val="Heading3"/>
        <w:spacing w:after="160" w:before="280"/>
      </w:pPr>
      <w:r>
        <w:rPr>
          <w:rFonts w:ascii="Garamond" w:cs="Garamond" w:eastAsia="Garamond" w:hAnsi="Garamond"/>
          <w:b/>
          <w:bCs/>
          <w:color w:val="173F35"/>
          <w:sz w:val="26"/>
          <w:szCs w:val="26"/>
        </w:rPr>
        <w:t xml:space="preserve">Florida Condominium — Fla. Stat. Ch. 718</w:t>
      </w:r>
    </w:p>
    <w:p>
      <w:pPr>
        <w:pStyle w:val="ListParagraph"/>
        <w:numPr>
          <w:ilvl w:val="0"/>
          <w:numId w:val="3"/>
        </w:numPr>
        <w:spacing w:after="60" w:before="40" w:line="290"/>
      </w:pPr>
      <w:r>
        <w:rPr>
          <w:rFonts w:ascii="Lato" w:cs="Lato" w:eastAsia="Lato" w:hAnsi="Lato"/>
          <w:color w:val="1A1A1A"/>
          <w:sz w:val="22"/>
          <w:szCs w:val="22"/>
        </w:rPr>
        <w:t xml:space="preserve">§ 718.112(2)(d) — Bylaws; elections; first notice (60 days) and second notice (14 days).</w:t>
      </w:r>
    </w:p>
    <w:p>
      <w:pPr>
        <w:pStyle w:val="ListParagraph"/>
        <w:numPr>
          <w:ilvl w:val="0"/>
          <w:numId w:val="3"/>
        </w:numPr>
        <w:spacing w:after="60" w:before="40" w:line="290"/>
      </w:pPr>
      <w:r>
        <w:rPr>
          <w:rFonts w:ascii="Lato" w:cs="Lato" w:eastAsia="Lato" w:hAnsi="Lato"/>
          <w:color w:val="1A1A1A"/>
          <w:sz w:val="22"/>
          <w:szCs w:val="22"/>
        </w:rPr>
        <w:t xml:space="preserve">Two-envelope system required for ballot return — see Sections 2 and 6 of the CIC-SC Ballot Template.</w:t>
      </w:r>
    </w:p>
    <w:p>
      <w:pPr>
        <w:pStyle w:val="ListParagraph"/>
        <w:numPr>
          <w:ilvl w:val="0"/>
          <w:numId w:val="3"/>
        </w:numPr>
        <w:spacing w:after="60" w:before="40" w:line="290"/>
      </w:pPr>
      <w:r>
        <w:rPr>
          <w:rFonts w:ascii="Lato" w:cs="Lato" w:eastAsia="Lato" w:hAnsi="Lato"/>
          <w:color w:val="1A1A1A"/>
          <w:sz w:val="22"/>
          <w:szCs w:val="22"/>
        </w:rPr>
        <w:t xml:space="preserve">Specific procedures for tie votes, candidate eligibility challenges, and contested elections.</w:t>
      </w:r>
    </w:p>
    <w:p>
      <w:pPr>
        <w:spacing w:after="8" w:before="8"/>
      </w:pPr>
      <w:r>
        <w:rPr>
          <w:sz w:val="2"/>
          <w:szCs w:val="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23594D" w:sz="4"/>
              <w:left w:val="single" w:color="23594D" w:sz="24"/>
              <w:bottom w:val="single" w:color="23594D" w:sz="4"/>
              <w:right w:val="single" w:color="23594D" w:sz="4"/>
            </w:tcBorders>
            <w:shd w:fill="DDE7E2"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COUNSEL REVIEW BEFORE ISSUANCE</w:t>
            </w:r>
          </w:p>
          <w:p>
            <w:pPr>
              <w:spacing w:after="0" w:before="0" w:line="300"/>
              <w:jc w:val="left"/>
            </w:pPr>
            <w:r>
              <w:rPr>
                <w:rFonts w:ascii="Lato" w:cs="Lato" w:eastAsia="Lato" w:hAnsi="Lato"/>
                <w:color w:val="1A1A1A"/>
                <w:sz w:val="22"/>
                <w:szCs w:val="22"/>
              </w:rPr>
              <w:t xml:space="preserve">Even with this template, notice and ballot procedures should be reviewed by counsel before the first mailing. The cost of counsel review is far below the cost of an election rerun.</w:t>
            </w:r>
          </w:p>
        </w:tc>
      </w:tr>
    </w:tbl>
    <w:p>
      <w:r>
        <w:br w:type="page"/>
      </w:r>
    </w:p>
    <w:p>
      <w:pPr>
        <w:spacing w:after="60" w:before="0"/>
      </w:pPr>
      <w:r>
        <w:rPr>
          <w:rFonts w:ascii="Lato" w:cs="Lato" w:eastAsia="Lato" w:hAnsi="Lato"/>
          <w:b/>
          <w:bCs/>
          <w:color w:val="C9A24A"/>
          <w:spacing w:val="100"/>
          <w:sz w:val="16"/>
          <w:szCs w:val="16"/>
        </w:rPr>
        <w:t xml:space="preserve">COUNTING AND CERTIFICATION</w:t>
      </w:r>
    </w:p>
    <w:p>
      <w:pPr>
        <w:pStyle w:val="Heading1"/>
        <w:spacing w:after="160" w:before="280"/>
      </w:pPr>
      <w:r>
        <w:rPr>
          <w:rFonts w:ascii="Garamond" w:cs="Garamond" w:eastAsia="Garamond" w:hAnsi="Garamond"/>
          <w:b/>
          <w:bCs/>
          <w:color w:val="173F35"/>
          <w:sz w:val="40"/>
          <w:szCs w:val="40"/>
        </w:rPr>
        <w:t xml:space="preserve">How to Count, How to Certify</w:t>
      </w:r>
    </w:p>
    <w:p>
      <w:pPr>
        <w:pBdr>
          <w:bottom w:val="single" w:color="C9A24A" w:sz="8" w:space="1"/>
        </w:pBdr>
        <w:spacing w:after="120" w:before="80"/>
      </w:pPr>
      <w:r>
        <w:t xml:space="preserve"/>
      </w:r>
    </w:p>
    <w:p>
      <w:pPr>
        <w:pStyle w:val="Heading3"/>
        <w:spacing w:after="160" w:before="280"/>
      </w:pPr>
      <w:r>
        <w:rPr>
          <w:rFonts w:ascii="Garamond" w:cs="Garamond" w:eastAsia="Garamond" w:hAnsi="Garamond"/>
          <w:b/>
          <w:bCs/>
          <w:color w:val="173F35"/>
          <w:sz w:val="26"/>
          <w:szCs w:val="26"/>
        </w:rPr>
        <w:t xml:space="preserve">In the days before the meeting</w:t>
      </w:r>
    </w:p>
    <w:p>
      <w:pPr>
        <w:pStyle w:val="ListParagraph"/>
        <w:numPr>
          <w:ilvl w:val="0"/>
          <w:numId w:val="3"/>
        </w:numPr>
        <w:spacing w:after="60" w:before="40" w:line="290"/>
      </w:pPr>
      <w:r>
        <w:rPr>
          <w:rFonts w:ascii="Lato" w:cs="Lato" w:eastAsia="Lato" w:hAnsi="Lato"/>
          <w:color w:val="1A1A1A"/>
          <w:sz w:val="22"/>
          <w:szCs w:val="22"/>
        </w:rPr>
        <w:t xml:space="preserve">Inspector(s) of Election verify each returned outer envelope against the membership roster. Mark verified envelopes; segregate any that fail verification with a written note.</w:t>
      </w:r>
    </w:p>
    <w:p>
      <w:pPr>
        <w:pStyle w:val="ListParagraph"/>
        <w:numPr>
          <w:ilvl w:val="0"/>
          <w:numId w:val="3"/>
        </w:numPr>
        <w:spacing w:after="60" w:before="40" w:line="290"/>
      </w:pPr>
      <w:r>
        <w:rPr>
          <w:rFonts w:ascii="Lato" w:cs="Lato" w:eastAsia="Lato" w:hAnsi="Lato"/>
          <w:color w:val="1A1A1A"/>
          <w:sz w:val="22"/>
          <w:szCs w:val="22"/>
        </w:rPr>
        <w:t xml:space="preserve">Sort unopened verified outer envelopes by lot or unit; confirm only one ballot per voter.</w:t>
      </w:r>
    </w:p>
    <w:p>
      <w:pPr>
        <w:pStyle w:val="ListParagraph"/>
        <w:numPr>
          <w:ilvl w:val="0"/>
          <w:numId w:val="3"/>
        </w:numPr>
        <w:spacing w:after="60" w:before="40" w:line="290"/>
      </w:pPr>
      <w:r>
        <w:rPr>
          <w:rFonts w:ascii="Lato" w:cs="Lato" w:eastAsia="Lato" w:hAnsi="Lato"/>
          <w:color w:val="1A1A1A"/>
          <w:sz w:val="22"/>
          <w:szCs w:val="22"/>
        </w:rPr>
        <w:t xml:space="preserve">Do not open the outer envelopes or remove the inner envelopes before the meeting.</w:t>
      </w:r>
    </w:p>
    <w:p>
      <w:pPr>
        <w:pStyle w:val="Heading3"/>
        <w:spacing w:after="160" w:before="280"/>
      </w:pPr>
      <w:r>
        <w:rPr>
          <w:rFonts w:ascii="Garamond" w:cs="Garamond" w:eastAsia="Garamond" w:hAnsi="Garamond"/>
          <w:b/>
          <w:bCs/>
          <w:color w:val="173F35"/>
          <w:sz w:val="26"/>
          <w:szCs w:val="26"/>
        </w:rPr>
        <w:t xml:space="preserve">At the meeting</w:t>
      </w:r>
    </w:p>
    <w:p>
      <w:pPr>
        <w:pStyle w:val="ListParagraph"/>
        <w:numPr>
          <w:ilvl w:val="0"/>
          <w:numId w:val="3"/>
        </w:numPr>
        <w:spacing w:after="60" w:before="40" w:line="290"/>
      </w:pPr>
      <w:r>
        <w:rPr>
          <w:rFonts w:ascii="Lato" w:cs="Lato" w:eastAsia="Lato" w:hAnsi="Lato"/>
          <w:color w:val="1A1A1A"/>
          <w:sz w:val="22"/>
          <w:szCs w:val="22"/>
        </w:rPr>
        <w:t xml:space="preserve">Confirm quorum from the count of submitted outer envelopes plus members present in person.</w:t>
      </w:r>
    </w:p>
    <w:p>
      <w:pPr>
        <w:pStyle w:val="ListParagraph"/>
        <w:numPr>
          <w:ilvl w:val="0"/>
          <w:numId w:val="3"/>
        </w:numPr>
        <w:spacing w:after="60" w:before="40" w:line="290"/>
      </w:pPr>
      <w:r>
        <w:rPr>
          <w:rFonts w:ascii="Lato" w:cs="Lato" w:eastAsia="Lato" w:hAnsi="Lato"/>
          <w:color w:val="1A1A1A"/>
          <w:sz w:val="22"/>
          <w:szCs w:val="22"/>
        </w:rPr>
        <w:t xml:space="preserve">Receive any final in-person ballots, including in-person overrides of absentee ballots (Tex. Prop. Code § 209.00592(c)(3)).</w:t>
      </w:r>
    </w:p>
    <w:p>
      <w:pPr>
        <w:pStyle w:val="ListParagraph"/>
        <w:numPr>
          <w:ilvl w:val="0"/>
          <w:numId w:val="3"/>
        </w:numPr>
        <w:spacing w:after="60" w:before="40" w:line="290"/>
      </w:pPr>
      <w:r>
        <w:rPr>
          <w:rFonts w:ascii="Lato" w:cs="Lato" w:eastAsia="Lato" w:hAnsi="Lato"/>
          <w:color w:val="1A1A1A"/>
          <w:sz w:val="22"/>
          <w:szCs w:val="22"/>
        </w:rPr>
        <w:t xml:space="preserve">Open the outer envelopes; remove the inner envelopes; deposit unopened inner envelopes in a central container.</w:t>
      </w:r>
    </w:p>
    <w:p>
      <w:pPr>
        <w:pStyle w:val="ListParagraph"/>
        <w:numPr>
          <w:ilvl w:val="0"/>
          <w:numId w:val="3"/>
        </w:numPr>
        <w:spacing w:after="60" w:before="40" w:line="290"/>
      </w:pPr>
      <w:r>
        <w:rPr>
          <w:rFonts w:ascii="Lato" w:cs="Lato" w:eastAsia="Lato" w:hAnsi="Lato"/>
          <w:color w:val="1A1A1A"/>
          <w:sz w:val="22"/>
          <w:szCs w:val="22"/>
        </w:rPr>
        <w:t xml:space="preserve">Open the inner envelopes (Florida condominium two-envelope system) and tally.</w:t>
      </w:r>
    </w:p>
    <w:p>
      <w:pPr>
        <w:pStyle w:val="ListParagraph"/>
        <w:numPr>
          <w:ilvl w:val="0"/>
          <w:numId w:val="3"/>
        </w:numPr>
        <w:spacing w:after="60" w:before="40" w:line="290"/>
      </w:pPr>
      <w:r>
        <w:rPr>
          <w:rFonts w:ascii="Lato" w:cs="Lato" w:eastAsia="Lato" w:hAnsi="Lato"/>
          <w:color w:val="1A1A1A"/>
          <w:sz w:val="22"/>
          <w:szCs w:val="22"/>
        </w:rPr>
        <w:t xml:space="preserve">Announce the results. Do not announce intermediate counts in cumulative elections.</w:t>
      </w:r>
    </w:p>
    <w:p>
      <w:pPr>
        <w:pStyle w:val="Heading3"/>
        <w:spacing w:after="160" w:before="280"/>
      </w:pPr>
      <w:r>
        <w:rPr>
          <w:rFonts w:ascii="Garamond" w:cs="Garamond" w:eastAsia="Garamond" w:hAnsi="Garamond"/>
          <w:b/>
          <w:bCs/>
          <w:color w:val="173F35"/>
          <w:sz w:val="26"/>
          <w:szCs w:val="26"/>
        </w:rPr>
        <w:t xml:space="preserve">After the meeting</w:t>
      </w:r>
    </w:p>
    <w:p>
      <w:pPr>
        <w:pStyle w:val="ListParagraph"/>
        <w:numPr>
          <w:ilvl w:val="0"/>
          <w:numId w:val="3"/>
        </w:numPr>
        <w:spacing w:after="60" w:before="40" w:line="290"/>
      </w:pPr>
      <w:r>
        <w:rPr>
          <w:rFonts w:ascii="Lato" w:cs="Lato" w:eastAsia="Lato" w:hAnsi="Lato"/>
          <w:color w:val="1A1A1A"/>
          <w:sz w:val="22"/>
          <w:szCs w:val="22"/>
        </w:rPr>
        <w:t xml:space="preserve">Inspector(s) of Election sign the certification on the Tally Sheet (Section 9 of the Template).</w:t>
      </w:r>
    </w:p>
    <w:p>
      <w:pPr>
        <w:pStyle w:val="ListParagraph"/>
        <w:numPr>
          <w:ilvl w:val="0"/>
          <w:numId w:val="3"/>
        </w:numPr>
        <w:spacing w:after="60" w:before="40" w:line="290"/>
      </w:pPr>
      <w:r>
        <w:rPr>
          <w:rFonts w:ascii="Lato" w:cs="Lato" w:eastAsia="Lato" w:hAnsi="Lato"/>
          <w:color w:val="1A1A1A"/>
          <w:sz w:val="22"/>
          <w:szCs w:val="22"/>
        </w:rPr>
        <w:t xml:space="preserve">Permanent record retained for at least seven (7) years (longer if governing documents or state law require): the ballots, the Tally Sheet, the meeting minutes, and the notice mailing record.</w:t>
      </w:r>
    </w:p>
    <w:p>
      <w:pPr>
        <w:pStyle w:val="ListParagraph"/>
        <w:numPr>
          <w:ilvl w:val="0"/>
          <w:numId w:val="3"/>
        </w:numPr>
        <w:spacing w:after="60" w:before="40" w:line="290"/>
      </w:pPr>
      <w:r>
        <w:rPr>
          <w:rFonts w:ascii="Lato" w:cs="Lato" w:eastAsia="Lato" w:hAnsi="Lato"/>
          <w:color w:val="1A1A1A"/>
          <w:sz w:val="22"/>
          <w:szCs w:val="22"/>
        </w:rPr>
        <w:t xml:space="preserve">Florida condominium: ballots and election materials must be retained per Fla. Stat. § 718.112(2)(d) document-retention requirements (currently one year minimum, often longer in practice).</w:t>
      </w:r>
    </w:p>
    <w:p>
      <w:pPr>
        <w:pStyle w:val="ListParagraph"/>
        <w:numPr>
          <w:ilvl w:val="0"/>
          <w:numId w:val="3"/>
        </w:numPr>
        <w:spacing w:after="60" w:before="40" w:line="290"/>
      </w:pPr>
      <w:r>
        <w:rPr>
          <w:rFonts w:ascii="Lato" w:cs="Lato" w:eastAsia="Lato" w:hAnsi="Lato"/>
          <w:color w:val="1A1A1A"/>
          <w:sz w:val="22"/>
          <w:szCs w:val="22"/>
        </w:rPr>
        <w:t xml:space="preserve">Texas HOA: records retained per § 209.005 and the governing documents.</w:t>
      </w:r>
    </w:p>
    <w:p>
      <w:pPr>
        <w:spacing w:after="8" w:before="8"/>
      </w:pPr>
      <w:r>
        <w:rPr>
          <w:sz w:val="2"/>
          <w:szCs w:val="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24A" w:sz="4"/>
              <w:left w:val="single" w:color="C9A24A" w:sz="24"/>
              <w:bottom w:val="single" w:color="C9A24A" w:sz="4"/>
              <w:right w:val="single" w:color="C9A24A" w:sz="4"/>
            </w:tcBorders>
            <w:shd w:fill="EAE2C7"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CUMULATIVE VOTING MATH</w:t>
            </w:r>
          </w:p>
          <w:p>
            <w:pPr>
              <w:spacing w:after="0" w:before="0" w:line="300"/>
              <w:jc w:val="left"/>
            </w:pPr>
            <w:r>
              <w:rPr>
                <w:rFonts w:ascii="Lato" w:cs="Lato" w:eastAsia="Lato" w:hAnsi="Lato"/>
                <w:color w:val="1A1A1A"/>
                <w:sz w:val="22"/>
                <w:szCs w:val="22"/>
              </w:rPr>
              <w:t xml:space="preserve">Cumulative voting allows each member to cast (# seats × # votes per seat) total votes and concentrate them across one or more candidates. To tally: sum each candidate’s total cumulative votes; the top N vote-getters win the N seats. Do not announce intermediate counts during the tally — strategic vote-shifting at the meeting is not permitted.</w:t>
            </w:r>
          </w:p>
        </w:tc>
      </w:tr>
    </w:tbl>
    <w:p>
      <w:r>
        <w:br w:type="page"/>
      </w:r>
    </w:p>
    <w:p>
      <w:pPr>
        <w:spacing w:after="60" w:before="0"/>
      </w:pPr>
      <w:r>
        <w:rPr>
          <w:rFonts w:ascii="Lato" w:cs="Lato" w:eastAsia="Lato" w:hAnsi="Lato"/>
          <w:b/>
          <w:bCs/>
          <w:color w:val="C9A24A"/>
          <w:spacing w:val="100"/>
          <w:sz w:val="16"/>
          <w:szCs w:val="16"/>
        </w:rPr>
        <w:t xml:space="preserve">COMMON MISTAKES</w:t>
      </w:r>
    </w:p>
    <w:p>
      <w:pPr>
        <w:pStyle w:val="Heading1"/>
        <w:spacing w:after="160" w:before="280"/>
      </w:pPr>
      <w:r>
        <w:rPr>
          <w:rFonts w:ascii="Garamond" w:cs="Garamond" w:eastAsia="Garamond" w:hAnsi="Garamond"/>
          <w:b/>
          <w:bCs/>
          <w:color w:val="173F35"/>
          <w:sz w:val="40"/>
          <w:szCs w:val="40"/>
        </w:rPr>
        <w:t xml:space="preserve">Pitfalls to Avoid</w:t>
      </w:r>
    </w:p>
    <w:p>
      <w:pPr>
        <w:pBdr>
          <w:bottom w:val="single" w:color="C9A24A" w:sz="8" w:space="1"/>
        </w:pBdr>
        <w:spacing w:after="120" w:before="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24A" w:sz="4"/>
              <w:left w:val="single" w:color="C9A24A" w:sz="24"/>
              <w:bottom w:val="single" w:color="C9A24A" w:sz="4"/>
              <w:right w:val="single" w:color="C9A24A" w:sz="4"/>
            </w:tcBorders>
            <w:shd w:fill="EAE2C7"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MISTAKE 1 — MISSING THE NOTICE WINDOW</w:t>
            </w:r>
          </w:p>
          <w:p>
            <w:pPr>
              <w:spacing w:after="0" w:before="0" w:line="300"/>
              <w:jc w:val="left"/>
            </w:pPr>
            <w:r>
              <w:rPr>
                <w:rFonts w:ascii="Lato" w:cs="Lato" w:eastAsia="Lato" w:hAnsi="Lato"/>
                <w:color w:val="1A1A1A"/>
                <w:sz w:val="22"/>
                <w:szCs w:val="22"/>
              </w:rPr>
              <w:t xml:space="preserve">Even one day late on the statutory notice timeline invalidates the meeting. Calendar the notice mailing on the Annual Operations Calendar and treat it as a hard milestone.</w:t>
            </w:r>
          </w:p>
        </w:tc>
      </w:tr>
    </w:tbl>
    <w:p>
      <w:pPr>
        <w:spacing w:after="8" w:before="8"/>
      </w:pPr>
      <w:r>
        <w:rPr>
          <w:sz w:val="2"/>
          <w:szCs w:val="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24A" w:sz="4"/>
              <w:left w:val="single" w:color="C9A24A" w:sz="24"/>
              <w:bottom w:val="single" w:color="C9A24A" w:sz="4"/>
              <w:right w:val="single" w:color="C9A24A" w:sz="4"/>
            </w:tcBorders>
            <w:shd w:fill="EAE2C7"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MISTAKE 2 — MISSING THE TEXAS ABSENTEE-BALLOT DISCLOSURE</w:t>
            </w:r>
          </w:p>
          <w:p>
            <w:pPr>
              <w:spacing w:after="0" w:before="0" w:line="300"/>
              <w:jc w:val="left"/>
            </w:pPr>
            <w:r>
              <w:rPr>
                <w:rFonts w:ascii="Lato" w:cs="Lato" w:eastAsia="Lato" w:hAnsi="Lato"/>
                <w:color w:val="1A1A1A"/>
                <w:sz w:val="22"/>
                <w:szCs w:val="22"/>
              </w:rPr>
              <w:t xml:space="preserve">Tex. Prop. Code § 209.00592(c)(3) requires specific disclosure language on every absentee ballot. Including the disclosure verbatim is the cleanest path; omitting or rewording it creates challengeable ballots.</w:t>
            </w:r>
          </w:p>
        </w:tc>
      </w:tr>
    </w:tbl>
    <w:p>
      <w:pPr>
        <w:spacing w:after="8" w:before="8"/>
      </w:pPr>
      <w:r>
        <w:rPr>
          <w:sz w:val="2"/>
          <w:szCs w:val="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24A" w:sz="4"/>
              <w:left w:val="single" w:color="C9A24A" w:sz="24"/>
              <w:bottom w:val="single" w:color="C9A24A" w:sz="4"/>
              <w:right w:val="single" w:color="C9A24A" w:sz="4"/>
            </w:tcBorders>
            <w:shd w:fill="EAE2C7"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MISTAKE 3 — SKIPPING THE TWO-ENVELOPE SYSTEM IN FLORIDA CONDOMINIUM ELECTIONS</w:t>
            </w:r>
          </w:p>
          <w:p>
            <w:pPr>
              <w:spacing w:after="0" w:before="0" w:line="300"/>
              <w:jc w:val="left"/>
            </w:pPr>
            <w:r>
              <w:rPr>
                <w:rFonts w:ascii="Lato" w:cs="Lato" w:eastAsia="Lato" w:hAnsi="Lato"/>
                <w:color w:val="1A1A1A"/>
                <w:sz w:val="22"/>
                <w:szCs w:val="22"/>
              </w:rPr>
              <w:t xml:space="preserve">Florida law requires a two-envelope (inner/outer) system for condominium election ballots under Fla. Stat. § 718.112(2)(d). Tallying a single-envelope return invalidates the ballots and creates an immediately challengeable election.</w:t>
            </w:r>
          </w:p>
        </w:tc>
      </w:tr>
    </w:tbl>
    <w:p>
      <w:pPr>
        <w:spacing w:after="8" w:before="8"/>
      </w:pPr>
      <w:r>
        <w:rPr>
          <w:sz w:val="2"/>
          <w:szCs w:val="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24A" w:sz="4"/>
              <w:left w:val="single" w:color="C9A24A" w:sz="24"/>
              <w:bottom w:val="single" w:color="C9A24A" w:sz="4"/>
              <w:right w:val="single" w:color="C9A24A" w:sz="4"/>
            </w:tcBorders>
            <w:shd w:fill="EAE2C7"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MISTAKE 4 — ALLOWING THE MANAGER TO SERVE AS BOTH INSPECTOR OF ELECTION AND CANDIDATE-INFORMATION DISTRIBUTOR</w:t>
            </w:r>
          </w:p>
          <w:p>
            <w:pPr>
              <w:spacing w:after="0" w:before="0" w:line="300"/>
              <w:jc w:val="left"/>
            </w:pPr>
            <w:r>
              <w:rPr>
                <w:rFonts w:ascii="Lato" w:cs="Lato" w:eastAsia="Lato" w:hAnsi="Lato"/>
                <w:color w:val="1A1A1A"/>
                <w:sz w:val="22"/>
                <w:szCs w:val="22"/>
              </w:rPr>
              <w:t xml:space="preserve">The Manager may serve as Inspector of Election — but only if not also serving as candidate-information distributor or vote canvasser in a contested race. Separate the roles when there is any contest, or designate a neutral third party (outside accountant, attorney) as Inspector.</w:t>
            </w:r>
          </w:p>
        </w:tc>
      </w:tr>
    </w:tbl>
    <w:p>
      <w:pPr>
        <w:spacing w:after="8" w:before="8"/>
      </w:pPr>
      <w:r>
        <w:rPr>
          <w:sz w:val="2"/>
          <w:szCs w:val="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24A" w:sz="4"/>
              <w:left w:val="single" w:color="C9A24A" w:sz="24"/>
              <w:bottom w:val="single" w:color="C9A24A" w:sz="4"/>
              <w:right w:val="single" w:color="C9A24A" w:sz="4"/>
            </w:tcBorders>
            <w:shd w:fill="EAE2C7"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MISTAKE 5 — ANNOUNCING INTERMEDIATE COUNTS IN CUMULATIVE ELECTIONS</w:t>
            </w:r>
          </w:p>
          <w:p>
            <w:pPr>
              <w:spacing w:after="0" w:before="0" w:line="300"/>
              <w:jc w:val="left"/>
            </w:pPr>
            <w:r>
              <w:rPr>
                <w:rFonts w:ascii="Lato" w:cs="Lato" w:eastAsia="Lato" w:hAnsi="Lato"/>
                <w:color w:val="1A1A1A"/>
                <w:sz w:val="22"/>
                <w:szCs w:val="22"/>
              </w:rPr>
              <w:t xml:space="preserve">Cumulative voting allows strategic vote concentration. Announcing intermediate counts during the tally can shift strategy mid-count — which is improper. Count all ballots before announcing any totals.</w:t>
            </w:r>
          </w:p>
        </w:tc>
      </w:tr>
    </w:tbl>
    <w:p>
      <w:pPr>
        <w:spacing w:after="8" w:before="8"/>
      </w:pPr>
      <w:r>
        <w:rPr>
          <w:sz w:val="2"/>
          <w:szCs w:val="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24A" w:sz="4"/>
              <w:left w:val="single" w:color="C9A24A" w:sz="24"/>
              <w:bottom w:val="single" w:color="C9A24A" w:sz="4"/>
              <w:right w:val="single" w:color="C9A24A" w:sz="4"/>
            </w:tcBorders>
            <w:shd w:fill="EAE2C7"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MISTAKE 6 — FILING THE BALLOTS WITHOUT CERTIFICATION</w:t>
            </w:r>
          </w:p>
          <w:p>
            <w:pPr>
              <w:spacing w:after="0" w:before="0" w:line="300"/>
              <w:jc w:val="left"/>
            </w:pPr>
            <w:r>
              <w:rPr>
                <w:rFonts w:ascii="Lato" w:cs="Lato" w:eastAsia="Lato" w:hAnsi="Lato"/>
                <w:color w:val="1A1A1A"/>
                <w:sz w:val="22"/>
                <w:szCs w:val="22"/>
              </w:rPr>
              <w:t xml:space="preserve">The Inspector’s certification on the Tally Sheet is what makes the election durable. Sign and date the certification before the records leave the meeting room.</w:t>
            </w:r>
          </w:p>
        </w:tc>
      </w:tr>
    </w:tbl>
    <w:p>
      <w:r>
        <w:br w:type="page"/>
      </w:r>
    </w:p>
    <w:p>
      <w:pPr>
        <w:spacing w:after="60" w:before="0"/>
      </w:pPr>
      <w:r>
        <w:rPr>
          <w:rFonts w:ascii="Lato" w:cs="Lato" w:eastAsia="Lato" w:hAnsi="Lato"/>
          <w:b/>
          <w:bCs/>
          <w:color w:val="C9A24A"/>
          <w:spacing w:val="100"/>
          <w:sz w:val="16"/>
          <w:szCs w:val="16"/>
        </w:rPr>
        <w:t xml:space="preserve">FREQUENTLY ASKED QUESTIONS</w:t>
      </w:r>
    </w:p>
    <w:p>
      <w:pPr>
        <w:pStyle w:val="Heading1"/>
        <w:spacing w:after="160" w:before="280"/>
      </w:pPr>
      <w:r>
        <w:rPr>
          <w:rFonts w:ascii="Garamond" w:cs="Garamond" w:eastAsia="Garamond" w:hAnsi="Garamond"/>
          <w:b/>
          <w:bCs/>
          <w:color w:val="173F35"/>
          <w:sz w:val="40"/>
          <w:szCs w:val="40"/>
        </w:rPr>
        <w:t xml:space="preserve">FAQs</w:t>
      </w:r>
    </w:p>
    <w:p>
      <w:pPr>
        <w:pBdr>
          <w:bottom w:val="single" w:color="C9A24A" w:sz="8" w:space="1"/>
        </w:pBdr>
        <w:spacing w:after="120" w:before="80"/>
      </w:pPr>
      <w:r>
        <w:t xml:space="preserve"/>
      </w:r>
    </w:p>
    <w:p>
      <w:pPr>
        <w:spacing w:after="60" w:before="200"/>
      </w:pPr>
      <w:r>
        <w:rPr>
          <w:rFonts w:ascii="Garamond" w:cs="Garamond" w:eastAsia="Garamond" w:hAnsi="Garamond"/>
          <w:b/>
          <w:bCs/>
          <w:color w:val="173F35"/>
          <w:sz w:val="26"/>
          <w:szCs w:val="26"/>
        </w:rPr>
        <w:t xml:space="preserve">Who can vote?</w:t>
      </w:r>
    </w:p>
    <w:p>
      <w:pPr>
        <w:spacing w:after="0" w:before="0" w:line="320"/>
        <w:jc w:val="left"/>
      </w:pPr>
      <w:r>
        <w:rPr>
          <w:rFonts w:ascii="Lato" w:cs="Lato" w:eastAsia="Lato" w:hAnsi="Lato"/>
          <w:color w:val="1A1A1A"/>
          <w:sz w:val="22"/>
          <w:szCs w:val="22"/>
        </w:rPr>
        <w:t xml:space="preserve">Owners of record on the record date stated in the meeting notice, whose accounts are in good standing per the governing documents and state law. For jointly-owned lots or units, the co-owners designate a single voting representative.</w:t>
      </w:r>
    </w:p>
    <w:p>
      <w:pPr>
        <w:spacing w:after="60" w:before="200"/>
      </w:pPr>
      <w:r>
        <w:rPr>
          <w:rFonts w:ascii="Garamond" w:cs="Garamond" w:eastAsia="Garamond" w:hAnsi="Garamond"/>
          <w:b/>
          <w:bCs/>
          <w:color w:val="173F35"/>
          <w:sz w:val="26"/>
          <w:szCs w:val="26"/>
        </w:rPr>
        <w:t xml:space="preserve">Can we use online voting?</w:t>
      </w:r>
    </w:p>
    <w:p>
      <w:pPr>
        <w:spacing w:after="0" w:before="0" w:line="320"/>
        <w:jc w:val="left"/>
      </w:pPr>
      <w:r>
        <w:rPr>
          <w:rFonts w:ascii="Lato" w:cs="Lato" w:eastAsia="Lato" w:hAnsi="Lato"/>
          <w:color w:val="1A1A1A"/>
          <w:sz w:val="22"/>
          <w:szCs w:val="22"/>
        </w:rPr>
        <w:t xml:space="preserve">Yes, with caveats. Texas Property Code permits electronic voting if the governing documents allow it and procedures are properly adopted. Florida statute permits online voting for both HOAs and condominiums with similar conditions. Confirm with counsel before switching to online voting; the procedural requirements are specific.</w:t>
      </w:r>
    </w:p>
    <w:p>
      <w:pPr>
        <w:spacing w:after="60" w:before="200"/>
      </w:pPr>
      <w:r>
        <w:rPr>
          <w:rFonts w:ascii="Garamond" w:cs="Garamond" w:eastAsia="Garamond" w:hAnsi="Garamond"/>
          <w:b/>
          <w:bCs/>
          <w:color w:val="173F35"/>
          <w:sz w:val="26"/>
          <w:szCs w:val="26"/>
        </w:rPr>
        <w:t xml:space="preserve">What's a quorum?</w:t>
      </w:r>
    </w:p>
    <w:p>
      <w:pPr>
        <w:spacing w:after="0" w:before="0" w:line="320"/>
        <w:jc w:val="left"/>
      </w:pPr>
      <w:r>
        <w:rPr>
          <w:rFonts w:ascii="Lato" w:cs="Lato" w:eastAsia="Lato" w:hAnsi="Lato"/>
          <w:color w:val="1A1A1A"/>
          <w:sz w:val="22"/>
          <w:szCs w:val="22"/>
        </w:rPr>
        <w:t xml:space="preserve">The minimum number of members (or member votes) required to conduct business. Set in the bylaws; commonly 30–50% of total membership for HOAs and lower for condominiums. Absentee ballots count toward quorum if the bylaws so provide.</w:t>
      </w:r>
    </w:p>
    <w:p>
      <w:pPr>
        <w:spacing w:after="60" w:before="200"/>
      </w:pPr>
      <w:r>
        <w:rPr>
          <w:rFonts w:ascii="Garamond" w:cs="Garamond" w:eastAsia="Garamond" w:hAnsi="Garamond"/>
          <w:b/>
          <w:bCs/>
          <w:color w:val="173F35"/>
          <w:sz w:val="26"/>
          <w:szCs w:val="26"/>
        </w:rPr>
        <w:t xml:space="preserve">What if quorum isn't met?</w:t>
      </w:r>
    </w:p>
    <w:p>
      <w:pPr>
        <w:spacing w:after="0" w:before="0" w:line="320"/>
        <w:jc w:val="left"/>
      </w:pPr>
      <w:r>
        <w:rPr>
          <w:rFonts w:ascii="Lato" w:cs="Lato" w:eastAsia="Lato" w:hAnsi="Lato"/>
          <w:color w:val="1A1A1A"/>
          <w:sz w:val="22"/>
          <w:szCs w:val="22"/>
        </w:rPr>
        <w:t xml:space="preserve">Adjourn the meeting and reschedule. The bylaws often allow a reduced quorum at the second meeting attempt. Do not conduct elections or other member business without a quorum.</w:t>
      </w:r>
    </w:p>
    <w:p>
      <w:pPr>
        <w:spacing w:after="60" w:before="200"/>
      </w:pPr>
      <w:r>
        <w:rPr>
          <w:rFonts w:ascii="Garamond" w:cs="Garamond" w:eastAsia="Garamond" w:hAnsi="Garamond"/>
          <w:b/>
          <w:bCs/>
          <w:color w:val="173F35"/>
          <w:sz w:val="26"/>
          <w:szCs w:val="26"/>
        </w:rPr>
        <w:t xml:space="preserve">Can directors vote at the annual meeting?</w:t>
      </w:r>
    </w:p>
    <w:p>
      <w:pPr>
        <w:spacing w:after="0" w:before="0" w:line="320"/>
        <w:jc w:val="left"/>
      </w:pPr>
      <w:r>
        <w:rPr>
          <w:rFonts w:ascii="Lato" w:cs="Lato" w:eastAsia="Lato" w:hAnsi="Lato"/>
          <w:color w:val="1A1A1A"/>
          <w:sz w:val="22"/>
          <w:szCs w:val="22"/>
        </w:rPr>
        <w:t xml:space="preserve">As members, yes — directors vote like any other member. As directors, no — board business is not conducted at the annual meeting.</w:t>
      </w:r>
    </w:p>
    <w:p>
      <w:pPr>
        <w:spacing w:after="60" w:before="200"/>
      </w:pPr>
      <w:r>
        <w:rPr>
          <w:rFonts w:ascii="Garamond" w:cs="Garamond" w:eastAsia="Garamond" w:hAnsi="Garamond"/>
          <w:b/>
          <w:bCs/>
          <w:color w:val="173F35"/>
          <w:sz w:val="26"/>
          <w:szCs w:val="26"/>
        </w:rPr>
        <w:t xml:space="preserve">What's an Inspector of Election?</w:t>
      </w:r>
    </w:p>
    <w:p>
      <w:pPr>
        <w:spacing w:after="0" w:before="0" w:line="320"/>
        <w:jc w:val="left"/>
      </w:pPr>
      <w:r>
        <w:rPr>
          <w:rFonts w:ascii="Lato" w:cs="Lato" w:eastAsia="Lato" w:hAnsi="Lato"/>
          <w:color w:val="1A1A1A"/>
          <w:sz w:val="22"/>
          <w:szCs w:val="22"/>
        </w:rPr>
        <w:t xml:space="preserve">A neutral person (or two-person committee) responsible for verifying ballots against the roster, opening the outer envelopes, tallying votes, and certifying the results. The Inspector is the procedural backbone of the election; should not be a candidate.</w:t>
      </w:r>
    </w:p>
    <w:p>
      <w:pPr>
        <w:spacing w:after="60" w:before="200"/>
      </w:pPr>
      <w:r>
        <w:rPr>
          <w:rFonts w:ascii="Garamond" w:cs="Garamond" w:eastAsia="Garamond" w:hAnsi="Garamond"/>
          <w:b/>
          <w:bCs/>
          <w:color w:val="173F35"/>
          <w:sz w:val="26"/>
          <w:szCs w:val="26"/>
        </w:rPr>
        <w:t xml:space="preserve">Can we use proxies?</w:t>
      </w:r>
    </w:p>
    <w:p>
      <w:pPr>
        <w:spacing w:after="0" w:before="0" w:line="320"/>
        <w:jc w:val="left"/>
      </w:pPr>
      <w:r>
        <w:rPr>
          <w:rFonts w:ascii="Lato" w:cs="Lato" w:eastAsia="Lato" w:hAnsi="Lato"/>
          <w:color w:val="1A1A1A"/>
          <w:sz w:val="22"/>
          <w:szCs w:val="22"/>
        </w:rPr>
        <w:t xml:space="preserve">It depends. Texas and Florida law and the governing documents are highly specific on proxy validity. Florida condominium proxies are generally limited (most matters require ballot, not proxy). HOA proxy use is broader but requires written, signed, dated proxies. Confirm with counsel before relying on proxies.</w:t>
      </w:r>
    </w:p>
    <w:p>
      <w:pPr>
        <w:spacing w:after="60" w:before="200"/>
      </w:pPr>
      <w:r>
        <w:rPr>
          <w:rFonts w:ascii="Garamond" w:cs="Garamond" w:eastAsia="Garamond" w:hAnsi="Garamond"/>
          <w:b/>
          <w:bCs/>
          <w:color w:val="173F35"/>
          <w:sz w:val="26"/>
          <w:szCs w:val="26"/>
        </w:rPr>
        <w:t xml:space="preserve">What if a candidate withdraws?</w:t>
      </w:r>
    </w:p>
    <w:p>
      <w:pPr>
        <w:spacing w:after="0" w:before="0" w:line="320"/>
        <w:jc w:val="left"/>
      </w:pPr>
      <w:r>
        <w:rPr>
          <w:rFonts w:ascii="Lato" w:cs="Lato" w:eastAsia="Lato" w:hAnsi="Lato"/>
          <w:color w:val="1A1A1A"/>
          <w:sz w:val="22"/>
          <w:szCs w:val="22"/>
        </w:rPr>
        <w:t xml:space="preserve">Confirm in writing; record in the Inspector’s file. If the withdrawal occurs after ballots are mailed, vote tallies for the withdrawn candidate are not counted. Remaining ballots are still valid.</w:t>
      </w:r>
    </w:p>
    <w:p>
      <w:pPr>
        <w:spacing w:after="60" w:before="200"/>
      </w:pPr>
      <w:r>
        <w:rPr>
          <w:rFonts w:ascii="Garamond" w:cs="Garamond" w:eastAsia="Garamond" w:hAnsi="Garamond"/>
          <w:b/>
          <w:bCs/>
          <w:color w:val="173F35"/>
          <w:sz w:val="26"/>
          <w:szCs w:val="26"/>
        </w:rPr>
        <w:t xml:space="preserve">What if two candidates tie?</w:t>
      </w:r>
    </w:p>
    <w:p>
      <w:pPr>
        <w:spacing w:after="0" w:before="0" w:line="320"/>
        <w:jc w:val="left"/>
      </w:pPr>
      <w:r>
        <w:rPr>
          <w:rFonts w:ascii="Lato" w:cs="Lato" w:eastAsia="Lato" w:hAnsi="Lato"/>
          <w:color w:val="1A1A1A"/>
          <w:sz w:val="22"/>
          <w:szCs w:val="22"/>
        </w:rPr>
        <w:t xml:space="preserve">Florida condominium: tie-breaker by lot under Fla. Stat. § 718.112(2)(d). Texas HOA and Florida HOA: per governing documents; if silent, by lot at the meeting. Document the tie-breaker procedure in advance, in writing.</w:t>
      </w:r>
    </w:p>
    <w:p>
      <w:pPr>
        <w:spacing w:after="60" w:before="200"/>
      </w:pPr>
      <w:r>
        <w:rPr>
          <w:rFonts w:ascii="Garamond" w:cs="Garamond" w:eastAsia="Garamond" w:hAnsi="Garamond"/>
          <w:b/>
          <w:bCs/>
          <w:color w:val="173F35"/>
          <w:sz w:val="26"/>
          <w:szCs w:val="26"/>
        </w:rPr>
        <w:t xml:space="preserve">How long do we keep the ballots?</w:t>
      </w:r>
    </w:p>
    <w:p>
      <w:pPr>
        <w:spacing w:after="0" w:before="0" w:line="320"/>
        <w:jc w:val="left"/>
      </w:pPr>
      <w:r>
        <w:rPr>
          <w:rFonts w:ascii="Lato" w:cs="Lato" w:eastAsia="Lato" w:hAnsi="Lato"/>
          <w:color w:val="1A1A1A"/>
          <w:sz w:val="22"/>
          <w:szCs w:val="22"/>
        </w:rPr>
        <w:t xml:space="preserve">At least seven (7) years; Florida condominium has specific statutory retention periods. Retain the ballots, Tally Sheet, meeting minutes, candidate solicitation file, and notice mailing record together.</w:t>
      </w:r>
    </w:p>
    <w:p>
      <w:r>
        <w:br w:type="page"/>
      </w:r>
    </w:p>
    <w:p>
      <w:pPr>
        <w:spacing w:after="60" w:before="0"/>
      </w:pPr>
      <w:r>
        <w:rPr>
          <w:rFonts w:ascii="Lato" w:cs="Lato" w:eastAsia="Lato" w:hAnsi="Lato"/>
          <w:b/>
          <w:bCs/>
          <w:color w:val="C9A24A"/>
          <w:spacing w:val="100"/>
          <w:sz w:val="16"/>
          <w:szCs w:val="16"/>
        </w:rPr>
        <w:t xml:space="preserve">STATE-SPECIFIC GUIDANCE</w:t>
      </w:r>
    </w:p>
    <w:p>
      <w:pPr>
        <w:pStyle w:val="Heading1"/>
        <w:spacing w:after="160" w:before="280"/>
      </w:pPr>
      <w:r>
        <w:rPr>
          <w:rFonts w:ascii="Garamond" w:cs="Garamond" w:eastAsia="Garamond" w:hAnsi="Garamond"/>
          <w:b/>
          <w:bCs/>
          <w:color w:val="173F35"/>
          <w:sz w:val="40"/>
          <w:szCs w:val="40"/>
        </w:rPr>
        <w:t xml:space="preserve">Texas &amp; Florida Considerations</w:t>
      </w:r>
    </w:p>
    <w:p>
      <w:pPr>
        <w:pBdr>
          <w:bottom w:val="single" w:color="C9A24A" w:sz="8" w:space="1"/>
        </w:pBdr>
        <w:spacing w:after="120" w:before="80"/>
      </w:pPr>
      <w:r>
        <w:t xml:space="preserve"/>
      </w:r>
    </w:p>
    <w:p>
      <w:pPr>
        <w:spacing w:after="200" w:before="0" w:line="300"/>
        <w:jc w:val="left"/>
      </w:pPr>
      <w:r>
        <w:rPr>
          <w:rFonts w:ascii="Lato" w:cs="Lato" w:eastAsia="Lato" w:hAnsi="Lato"/>
          <w:i/>
          <w:iCs/>
          <w:color w:val="5C5C5C"/>
          <w:sz w:val="22"/>
          <w:szCs w:val="22"/>
        </w:rPr>
        <w:t xml:space="preserve">Verify current effective text and amendment status with counsel before relying on any specific provision.</w:t>
      </w:r>
    </w:p>
    <w:p>
      <w:pPr>
        <w:pStyle w:val="Heading2"/>
        <w:spacing w:after="160" w:before="280"/>
      </w:pPr>
      <w:r>
        <w:rPr>
          <w:rFonts w:ascii="Garamond" w:cs="Garamond" w:eastAsia="Garamond" w:hAnsi="Garamond"/>
          <w:b/>
          <w:bCs/>
          <w:color w:val="173F35"/>
          <w:sz w:val="30"/>
          <w:szCs w:val="30"/>
        </w:rPr>
        <w:t xml:space="preserve">Texas</w:t>
      </w:r>
    </w:p>
    <w:p>
      <w:pPr>
        <w:pStyle w:val="ListParagraph"/>
        <w:numPr>
          <w:ilvl w:val="0"/>
          <w:numId w:val="3"/>
        </w:numPr>
        <w:spacing w:after="60" w:before="40" w:line="290"/>
      </w:pPr>
      <w:r>
        <w:rPr>
          <w:rFonts w:ascii="Lato" w:cs="Lato" w:eastAsia="Lato" w:hAnsi="Lato"/>
          <w:b/>
          <w:bCs/>
          <w:color w:val="173F35"/>
          <w:sz w:val="22"/>
          <w:szCs w:val="22"/>
        </w:rPr>
        <w:t xml:space="preserve">Tex. Prop. Code § 209.0051  </w:t>
      </w:r>
      <w:r>
        <w:rPr>
          <w:rFonts w:ascii="Lato" w:cs="Lato" w:eastAsia="Lato" w:hAnsi="Lato"/>
          <w:color w:val="1A1A1A"/>
          <w:sz w:val="22"/>
          <w:szCs w:val="22"/>
        </w:rPr>
        <w:t xml:space="preserve">— open-meeting and notice framework for HOA boards.</w:t>
      </w:r>
    </w:p>
    <w:p>
      <w:pPr>
        <w:pStyle w:val="ListParagraph"/>
        <w:numPr>
          <w:ilvl w:val="0"/>
          <w:numId w:val="3"/>
        </w:numPr>
        <w:spacing w:after="60" w:before="40" w:line="290"/>
      </w:pPr>
      <w:r>
        <w:rPr>
          <w:rFonts w:ascii="Lato" w:cs="Lato" w:eastAsia="Lato" w:hAnsi="Lato"/>
          <w:b/>
          <w:bCs/>
          <w:color w:val="173F35"/>
          <w:sz w:val="22"/>
          <w:szCs w:val="22"/>
        </w:rPr>
        <w:t xml:space="preserve">Tex. Prop. Code § 209.00591  </w:t>
      </w:r>
      <w:r>
        <w:rPr>
          <w:rFonts w:ascii="Lato" w:cs="Lato" w:eastAsia="Lato" w:hAnsi="Lato"/>
          <w:color w:val="1A1A1A"/>
          <w:sz w:val="22"/>
          <w:szCs w:val="22"/>
        </w:rPr>
        <w:t xml:space="preserve">— composition of board; removal procedures.</w:t>
      </w:r>
    </w:p>
    <w:p>
      <w:pPr>
        <w:pStyle w:val="ListParagraph"/>
        <w:numPr>
          <w:ilvl w:val="0"/>
          <w:numId w:val="3"/>
        </w:numPr>
        <w:spacing w:after="60" w:before="40" w:line="290"/>
      </w:pPr>
      <w:r>
        <w:rPr>
          <w:rFonts w:ascii="Lato" w:cs="Lato" w:eastAsia="Lato" w:hAnsi="Lato"/>
          <w:b/>
          <w:bCs/>
          <w:color w:val="173F35"/>
          <w:sz w:val="22"/>
          <w:szCs w:val="22"/>
        </w:rPr>
        <w:t xml:space="preserve">Tex. Prop. Code § 209.00592  </w:t>
      </w:r>
      <w:r>
        <w:rPr>
          <w:rFonts w:ascii="Lato" w:cs="Lato" w:eastAsia="Lato" w:hAnsi="Lato"/>
          <w:color w:val="1A1A1A"/>
          <w:sz w:val="22"/>
          <w:szCs w:val="22"/>
        </w:rPr>
        <w:t xml:space="preserve">— voting (absentee ballots, electronic voting, in-person override).</w:t>
      </w:r>
    </w:p>
    <w:p>
      <w:pPr>
        <w:pStyle w:val="ListParagraph"/>
        <w:numPr>
          <w:ilvl w:val="0"/>
          <w:numId w:val="3"/>
        </w:numPr>
        <w:spacing w:after="60" w:before="40" w:line="290"/>
      </w:pPr>
      <w:r>
        <w:rPr>
          <w:rFonts w:ascii="Lato" w:cs="Lato" w:eastAsia="Lato" w:hAnsi="Lato"/>
          <w:b/>
          <w:bCs/>
          <w:color w:val="173F35"/>
          <w:sz w:val="22"/>
          <w:szCs w:val="22"/>
        </w:rPr>
        <w:t xml:space="preserve">Tex. Prop. Code § 209.005  </w:t>
      </w:r>
      <w:r>
        <w:rPr>
          <w:rFonts w:ascii="Lato" w:cs="Lato" w:eastAsia="Lato" w:hAnsi="Lato"/>
          <w:color w:val="1A1A1A"/>
          <w:sz w:val="22"/>
          <w:szCs w:val="22"/>
        </w:rPr>
        <w:t xml:space="preserve">— records access; relevant to election record retention.</w:t>
      </w:r>
    </w:p>
    <w:p>
      <w:pPr>
        <w:pStyle w:val="Heading2"/>
        <w:spacing w:after="160" w:before="280"/>
      </w:pPr>
      <w:r>
        <w:rPr>
          <w:rFonts w:ascii="Garamond" w:cs="Garamond" w:eastAsia="Garamond" w:hAnsi="Garamond"/>
          <w:b/>
          <w:bCs/>
          <w:color w:val="173F35"/>
          <w:sz w:val="30"/>
          <w:szCs w:val="30"/>
        </w:rPr>
        <w:t xml:space="preserve">Florida — HOA (Ch. 720)</w:t>
      </w:r>
    </w:p>
    <w:p>
      <w:pPr>
        <w:pStyle w:val="ListParagraph"/>
        <w:numPr>
          <w:ilvl w:val="0"/>
          <w:numId w:val="3"/>
        </w:numPr>
        <w:spacing w:after="60" w:before="40" w:line="290"/>
      </w:pPr>
      <w:r>
        <w:rPr>
          <w:rFonts w:ascii="Lato" w:cs="Lato" w:eastAsia="Lato" w:hAnsi="Lato"/>
          <w:b/>
          <w:bCs/>
          <w:color w:val="173F35"/>
          <w:sz w:val="22"/>
          <w:szCs w:val="22"/>
        </w:rPr>
        <w:t xml:space="preserve">Fla. Stat. § 720.306  </w:t>
      </w:r>
      <w:r>
        <w:rPr>
          <w:rFonts w:ascii="Lato" w:cs="Lato" w:eastAsia="Lato" w:hAnsi="Lato"/>
          <w:color w:val="1A1A1A"/>
          <w:sz w:val="22"/>
          <w:szCs w:val="22"/>
        </w:rPr>
        <w:t xml:space="preserve">— meetings of members; voting and election procedures.</w:t>
      </w:r>
    </w:p>
    <w:p>
      <w:pPr>
        <w:pStyle w:val="ListParagraph"/>
        <w:numPr>
          <w:ilvl w:val="0"/>
          <w:numId w:val="3"/>
        </w:numPr>
        <w:spacing w:after="60" w:before="40" w:line="290"/>
      </w:pPr>
      <w:r>
        <w:rPr>
          <w:rFonts w:ascii="Lato" w:cs="Lato" w:eastAsia="Lato" w:hAnsi="Lato"/>
          <w:b/>
          <w:bCs/>
          <w:color w:val="173F35"/>
          <w:sz w:val="22"/>
          <w:szCs w:val="22"/>
        </w:rPr>
        <w:t xml:space="preserve">Fla. Stat. § 720.303  </w:t>
      </w:r>
      <w:r>
        <w:rPr>
          <w:rFonts w:ascii="Lato" w:cs="Lato" w:eastAsia="Lato" w:hAnsi="Lato"/>
          <w:color w:val="1A1A1A"/>
          <w:sz w:val="22"/>
          <w:szCs w:val="22"/>
        </w:rPr>
        <w:t xml:space="preserve">— association powers and duties; record retention.</w:t>
      </w:r>
    </w:p>
    <w:p>
      <w:pPr>
        <w:pStyle w:val="Heading2"/>
        <w:spacing w:after="160" w:before="280"/>
      </w:pPr>
      <w:r>
        <w:rPr>
          <w:rFonts w:ascii="Garamond" w:cs="Garamond" w:eastAsia="Garamond" w:hAnsi="Garamond"/>
          <w:b/>
          <w:bCs/>
          <w:color w:val="173F35"/>
          <w:sz w:val="30"/>
          <w:szCs w:val="30"/>
        </w:rPr>
        <w:t xml:space="preserve">Florida — Condominium (Ch. 718)</w:t>
      </w:r>
    </w:p>
    <w:p>
      <w:pPr>
        <w:pStyle w:val="ListParagraph"/>
        <w:numPr>
          <w:ilvl w:val="0"/>
          <w:numId w:val="3"/>
        </w:numPr>
        <w:spacing w:after="60" w:before="40" w:line="290"/>
      </w:pPr>
      <w:r>
        <w:rPr>
          <w:rFonts w:ascii="Lato" w:cs="Lato" w:eastAsia="Lato" w:hAnsi="Lato"/>
          <w:b/>
          <w:bCs/>
          <w:color w:val="173F35"/>
          <w:sz w:val="22"/>
          <w:szCs w:val="22"/>
        </w:rPr>
        <w:t xml:space="preserve">Fla. Stat. § 718.112(2)(d)  </w:t>
      </w:r>
      <w:r>
        <w:rPr>
          <w:rFonts w:ascii="Lato" w:cs="Lato" w:eastAsia="Lato" w:hAnsi="Lato"/>
          <w:color w:val="1A1A1A"/>
          <w:sz w:val="22"/>
          <w:szCs w:val="22"/>
        </w:rPr>
        <w:t xml:space="preserve">— bylaws; elections; first / second notice timing; two-envelope ballot system; tie-breaker.</w:t>
      </w:r>
    </w:p>
    <w:p>
      <w:pPr>
        <w:pStyle w:val="ListParagraph"/>
        <w:numPr>
          <w:ilvl w:val="0"/>
          <w:numId w:val="3"/>
        </w:numPr>
        <w:spacing w:after="60" w:before="40" w:line="290"/>
      </w:pPr>
      <w:r>
        <w:rPr>
          <w:rFonts w:ascii="Lato" w:cs="Lato" w:eastAsia="Lato" w:hAnsi="Lato"/>
          <w:b/>
          <w:bCs/>
          <w:color w:val="173F35"/>
          <w:sz w:val="22"/>
          <w:szCs w:val="22"/>
        </w:rPr>
        <w:t xml:space="preserve">Fla. Stat. § 718.111(12)  </w:t>
      </w:r>
      <w:r>
        <w:rPr>
          <w:rFonts w:ascii="Lato" w:cs="Lato" w:eastAsia="Lato" w:hAnsi="Lato"/>
          <w:color w:val="1A1A1A"/>
          <w:sz w:val="22"/>
          <w:szCs w:val="22"/>
        </w:rPr>
        <w:t xml:space="preserve">— official records; document retention.</w:t>
      </w:r>
    </w:p>
    <w:p>
      <w:pPr>
        <w:pStyle w:val="ListParagraph"/>
        <w:numPr>
          <w:ilvl w:val="0"/>
          <w:numId w:val="3"/>
        </w:numPr>
        <w:spacing w:after="60" w:before="40" w:line="290"/>
      </w:pPr>
      <w:r>
        <w:rPr>
          <w:rFonts w:ascii="Lato" w:cs="Lato" w:eastAsia="Lato" w:hAnsi="Lato"/>
          <w:b/>
          <w:bCs/>
          <w:color w:val="173F35"/>
          <w:sz w:val="22"/>
          <w:szCs w:val="22"/>
        </w:rPr>
        <w:t xml:space="preserve">Fla. Stat. § 718.116  </w:t>
      </w:r>
      <w:r>
        <w:rPr>
          <w:rFonts w:ascii="Lato" w:cs="Lato" w:eastAsia="Lato" w:hAnsi="Lato"/>
          <w:color w:val="1A1A1A"/>
          <w:sz w:val="22"/>
          <w:szCs w:val="22"/>
        </w:rPr>
        <w:t xml:space="preserve">— assessments; relevant to special-assessment votes.</w:t>
      </w:r>
    </w:p>
    <w:p>
      <w:pPr>
        <w:spacing w:after="8" w:before="8"/>
      </w:pPr>
      <w:r>
        <w:rPr>
          <w:sz w:val="2"/>
          <w:szCs w:val="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173F35" w:sz="4"/>
              <w:left w:val="single" w:color="173F35" w:sz="24"/>
              <w:bottom w:val="single" w:color="173F35" w:sz="4"/>
              <w:right w:val="single" w:color="173F35" w:sz="4"/>
            </w:tcBorders>
            <w:shd w:fill="DDE7E2"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FLORIDA SPECIAL ASSESSMENT VOTES</w:t>
            </w:r>
          </w:p>
          <w:p>
            <w:pPr>
              <w:spacing w:after="0" w:before="0" w:line="300"/>
              <w:jc w:val="left"/>
            </w:pPr>
            <w:r>
              <w:rPr>
                <w:rFonts w:ascii="Lato" w:cs="Lato" w:eastAsia="Lato" w:hAnsi="Lato"/>
                <w:color w:val="1A1A1A"/>
                <w:sz w:val="22"/>
                <w:szCs w:val="22"/>
              </w:rPr>
              <w:t xml:space="preserve">Special-assessment votes in Florida condominiums often require specific procedures and disclosures under Fla. Stat. §§ 718.115 (common expenses) and 718.116 (assessments; liability). The Special Assessment standalone draft in this toolkit illustrates how a § 718.116-compliant ballot is structured. Confirm current effective text with counsel before issuance.</w:t>
            </w:r>
          </w:p>
        </w:tc>
      </w:tr>
    </w:tbl>
    <w:p>
      <w:r>
        <w:br w:type="page"/>
      </w:r>
    </w:p>
    <w:p>
      <w:pPr>
        <w:spacing w:after="60" w:before="0"/>
      </w:pPr>
      <w:r>
        <w:rPr>
          <w:rFonts w:ascii="Lato" w:cs="Lato" w:eastAsia="Lato" w:hAnsi="Lato"/>
          <w:b/>
          <w:bCs/>
          <w:color w:val="C9A24A"/>
          <w:spacing w:val="100"/>
          <w:sz w:val="16"/>
          <w:szCs w:val="16"/>
        </w:rPr>
        <w:t xml:space="preserve">RELATED RESOURCES</w:t>
      </w:r>
    </w:p>
    <w:p>
      <w:pPr>
        <w:pStyle w:val="Heading1"/>
        <w:spacing w:after="160" w:before="280"/>
      </w:pPr>
      <w:r>
        <w:rPr>
          <w:rFonts w:ascii="Garamond" w:cs="Garamond" w:eastAsia="Garamond" w:hAnsi="Garamond"/>
          <w:b/>
          <w:bCs/>
          <w:color w:val="173F35"/>
          <w:sz w:val="40"/>
          <w:szCs w:val="40"/>
        </w:rPr>
        <w:t xml:space="preserve">From the CIC-SC Library</w:t>
      </w:r>
    </w:p>
    <w:p>
      <w:pPr>
        <w:pBdr>
          <w:bottom w:val="single" w:color="C9A24A" w:sz="8" w:space="1"/>
        </w:pBdr>
        <w:spacing w:after="120" w:before="80"/>
      </w:pPr>
      <w:r>
        <w:t xml:space="preserve"/>
      </w:r>
    </w:p>
    <w:p>
      <w:pPr>
        <w:pStyle w:val="ListParagraph"/>
        <w:numPr>
          <w:ilvl w:val="0"/>
          <w:numId w:val="3"/>
        </w:numPr>
        <w:spacing w:after="60" w:before="40" w:line="290"/>
      </w:pPr>
      <w:r>
        <w:rPr>
          <w:rFonts w:ascii="Lato" w:cs="Lato" w:eastAsia="Lato" w:hAnsi="Lato"/>
          <w:b/>
          <w:bCs/>
          <w:color w:val="173F35"/>
          <w:sz w:val="22"/>
          <w:szCs w:val="22"/>
        </w:rPr>
        <w:t xml:space="preserve">Annual Meeting Ballot — Adoption-Ready Template  </w:t>
      </w:r>
      <w:r>
        <w:rPr>
          <w:rFonts w:ascii="Lato" w:cs="Lato" w:eastAsia="Lato" w:hAnsi="Lato"/>
          <w:color w:val="1A1A1A"/>
          <w:sz w:val="22"/>
          <w:szCs w:val="22"/>
        </w:rPr>
        <w:t xml:space="preserve">— the document this guide accompanies.</w:t>
      </w:r>
    </w:p>
    <w:p>
      <w:pPr>
        <w:pStyle w:val="ListParagraph"/>
        <w:numPr>
          <w:ilvl w:val="0"/>
          <w:numId w:val="3"/>
        </w:numPr>
        <w:spacing w:after="60" w:before="40" w:line="290"/>
      </w:pPr>
      <w:r>
        <w:rPr>
          <w:rFonts w:ascii="Lato" w:cs="Lato" w:eastAsia="Lato" w:hAnsi="Lato"/>
          <w:b/>
          <w:bCs/>
          <w:color w:val="173F35"/>
          <w:sz w:val="22"/>
          <w:szCs w:val="22"/>
        </w:rPr>
        <w:t xml:space="preserve">Standalone Drafts  </w:t>
      </w:r>
      <w:r>
        <w:rPr>
          <w:rFonts w:ascii="Lato" w:cs="Lato" w:eastAsia="Lato" w:hAnsi="Lato"/>
          <w:color w:val="1A1A1A"/>
          <w:sz w:val="22"/>
          <w:szCs w:val="22"/>
        </w:rPr>
        <w:t xml:space="preserve">— Sample Director Election Ballot (Texas) and Sample Special Assessment Ballot (Florida).</w:t>
      </w:r>
    </w:p>
    <w:p>
      <w:pPr>
        <w:pStyle w:val="ListParagraph"/>
        <w:numPr>
          <w:ilvl w:val="0"/>
          <w:numId w:val="3"/>
        </w:numPr>
        <w:spacing w:after="60" w:before="40" w:line="290"/>
      </w:pPr>
      <w:r>
        <w:rPr>
          <w:rFonts w:ascii="Lato" w:cs="Lato" w:eastAsia="Lato" w:hAnsi="Lato"/>
          <w:b/>
          <w:bCs/>
          <w:color w:val="173F35"/>
          <w:sz w:val="22"/>
          <w:szCs w:val="22"/>
        </w:rPr>
        <w:t xml:space="preserve">Board Code of Ethics  </w:t>
      </w:r>
      <w:r>
        <w:rPr>
          <w:rFonts w:ascii="Lato" w:cs="Lato" w:eastAsia="Lato" w:hAnsi="Lato"/>
          <w:color w:val="1A1A1A"/>
          <w:sz w:val="22"/>
          <w:szCs w:val="22"/>
        </w:rPr>
        <w:t xml:space="preserve">— signed by every director at the organizational meeting after election.</w:t>
      </w:r>
    </w:p>
    <w:p>
      <w:pPr>
        <w:pStyle w:val="ListParagraph"/>
        <w:numPr>
          <w:ilvl w:val="0"/>
          <w:numId w:val="3"/>
        </w:numPr>
        <w:spacing w:after="60" w:before="40" w:line="290"/>
      </w:pPr>
      <w:r>
        <w:rPr>
          <w:rFonts w:ascii="Lato" w:cs="Lato" w:eastAsia="Lato" w:hAnsi="Lato"/>
          <w:b/>
          <w:bCs/>
          <w:color w:val="173F35"/>
          <w:sz w:val="22"/>
          <w:szCs w:val="22"/>
        </w:rPr>
        <w:t xml:space="preserve">Annual Operations Calendar  </w:t>
      </w:r>
      <w:r>
        <w:rPr>
          <w:rFonts w:ascii="Lato" w:cs="Lato" w:eastAsia="Lato" w:hAnsi="Lato"/>
          <w:color w:val="1A1A1A"/>
          <w:sz w:val="22"/>
          <w:szCs w:val="22"/>
        </w:rPr>
        <w:t xml:space="preserve">— anchors the 90-day notice cadence and the post-election seating timeline.</w:t>
      </w:r>
    </w:p>
    <w:p>
      <w:pPr>
        <w:pStyle w:val="ListParagraph"/>
        <w:numPr>
          <w:ilvl w:val="0"/>
          <w:numId w:val="3"/>
        </w:numPr>
        <w:spacing w:after="60" w:before="40" w:line="290"/>
      </w:pPr>
      <w:r>
        <w:rPr>
          <w:rFonts w:ascii="Lato" w:cs="Lato" w:eastAsia="Lato" w:hAnsi="Lato"/>
          <w:b/>
          <w:bCs/>
          <w:color w:val="173F35"/>
          <w:sz w:val="22"/>
          <w:szCs w:val="22"/>
        </w:rPr>
        <w:t xml:space="preserve">Board Member Onboarding Toolkit  </w:t>
      </w:r>
      <w:r>
        <w:rPr>
          <w:rFonts w:ascii="Lato" w:cs="Lato" w:eastAsia="Lato" w:hAnsi="Lato"/>
          <w:color w:val="1A1A1A"/>
          <w:sz w:val="22"/>
          <w:szCs w:val="22"/>
        </w:rPr>
        <w:t xml:space="preserve">— for newly-elected directors at the organizational meeting.</w:t>
      </w:r>
    </w:p>
    <w:p>
      <w:pPr>
        <w:spacing w:after="8" w:before="8"/>
      </w:pPr>
      <w:r>
        <w:rPr>
          <w:sz w:val="2"/>
          <w:szCs w:val="2"/>
        </w:rP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9A24A" w:sz="4"/>
              <w:left w:val="single" w:color="C9A24A" w:sz="24"/>
              <w:bottom w:val="single" w:color="C9A24A" w:sz="4"/>
              <w:right w:val="single" w:color="C9A24A" w:sz="4"/>
            </w:tcBorders>
            <w:shd w:fill="EAE2C7" w:color="auto" w:val="clear"/>
            <w:tcMar>
              <w:top w:type="dxa" w:w="200"/>
              <w:left w:type="dxa" w:w="240"/>
              <w:bottom w:type="dxa" w:w="200"/>
              <w:right w:type="dxa" w:w="240"/>
            </w:tcMar>
          </w:tcPr>
          <w:p>
            <w:pPr>
              <w:spacing w:after="80" w:before="0"/>
            </w:pPr>
            <w:r>
              <w:rPr>
                <w:rFonts w:ascii="Lato" w:cs="Lato" w:eastAsia="Lato" w:hAnsi="Lato"/>
                <w:b/>
                <w:bCs/>
                <w:color w:val="173F35"/>
                <w:spacing w:val="80"/>
                <w:sz w:val="16"/>
                <w:szCs w:val="16"/>
              </w:rPr>
              <w:t xml:space="preserve">BECOME A CIC-SC MEMBER</w:t>
            </w:r>
          </w:p>
          <w:p>
            <w:pPr>
              <w:spacing w:after="0" w:before="0" w:line="300"/>
              <w:jc w:val="left"/>
            </w:pPr>
            <w:r>
              <w:rPr>
                <w:rFonts w:ascii="Lato" w:cs="Lato" w:eastAsia="Lato" w:hAnsi="Lato"/>
                <w:color w:val="1A1A1A"/>
                <w:sz w:val="22"/>
                <w:szCs w:val="22"/>
              </w:rPr>
              <w:t xml:space="preserve">Members get full access to the CIC-SC library, including the Florida Condominium Election Toolkit (with statutorily-compliant notice templates and election challenge procedures), the Texas HOA Recall Procedures Toolkit, quarterly state-specific legislative updates, and live training. Visit CIC-SC.org/membership to join.</w:t>
            </w:r>
          </w:p>
        </w:tc>
      </w:tr>
    </w:tbl>
    <w:p>
      <w:r>
        <w:br w:type="page"/>
      </w:r>
    </w:p>
    <w:p>
      <w:pPr>
        <w:spacing w:after="60" w:before="0"/>
      </w:pPr>
      <w:r>
        <w:rPr>
          <w:rFonts w:ascii="Lato" w:cs="Lato" w:eastAsia="Lato" w:hAnsi="Lato"/>
          <w:b/>
          <w:bCs/>
          <w:color w:val="C9A24A"/>
          <w:spacing w:val="100"/>
          <w:sz w:val="16"/>
          <w:szCs w:val="16"/>
        </w:rPr>
        <w:t xml:space="preserve">DISCLAIMER</w:t>
      </w:r>
    </w:p>
    <w:p>
      <w:pPr>
        <w:pStyle w:val="Heading2"/>
        <w:spacing w:after="160" w:before="280"/>
      </w:pPr>
      <w:r>
        <w:rPr>
          <w:rFonts w:ascii="Garamond" w:cs="Garamond" w:eastAsia="Garamond" w:hAnsi="Garamond"/>
          <w:b/>
          <w:bCs/>
          <w:color w:val="173F35"/>
          <w:sz w:val="30"/>
          <w:szCs w:val="30"/>
        </w:rPr>
        <w:t xml:space="preserve">CIC-SC Disclaimer</w:t>
      </w:r>
    </w:p>
    <w:p>
      <w:pPr>
        <w:pBdr>
          <w:bottom w:val="single" w:color="C9A24A" w:sz="8" w:space="1"/>
        </w:pBdr>
        <w:spacing w:after="120" w:before="80"/>
      </w:pPr>
      <w:r>
        <w:t xml:space="preserve"/>
      </w:r>
    </w:p>
    <w:p>
      <w:pPr>
        <w:spacing w:after="200" w:before="0" w:line="280"/>
        <w:jc w:val="left"/>
      </w:pPr>
      <w:r>
        <w:rPr>
          <w:rFonts w:ascii="Lato" w:cs="Lato" w:eastAsia="Lato" w:hAnsi="Lato"/>
          <w:color w:val="5C5C5C"/>
          <w:sz w:val="18"/>
          <w:szCs w:val="18"/>
        </w:rPr>
        <w:t xml:space="preserve">This resource is provided by the Common Interest Community Standards Council (CIC-SC) for general educational and informational purposes only. Community association laws and requirements vary by state and may change over time. This material is not legal, financial, insurance, reserve, or professional management advice and should not be relied upon as a substitute for consulting qualified professionals familiar with your specific circumstances and jurisdiction. While CIC-SC strives for accuracy and relevance, no guarantee is made regarding completeness, accuracy, or compliance with applicable laws.</w:t>
      </w:r>
    </w:p>
    <w:p>
      <w:pPr>
        <w:spacing w:after="40" w:before="0" w:line="300"/>
        <w:jc w:val="left"/>
      </w:pPr>
      <w:r>
        <w:rPr>
          <w:rFonts w:ascii="Lato" w:cs="Lato" w:eastAsia="Lato" w:hAnsi="Lato"/>
          <w:b/>
          <w:bCs/>
          <w:color w:val="173F35"/>
          <w:sz w:val="18"/>
          <w:szCs w:val="18"/>
        </w:rPr>
        <w:t xml:space="preserve">© Common Interest Community Standards Council (CIC-SC)</w:t>
      </w:r>
    </w:p>
    <w:p>
      <w:pPr>
        <w:spacing w:after="0" w:before="0" w:line="300"/>
        <w:jc w:val="left"/>
      </w:pPr>
      <w:r>
        <w:rPr>
          <w:rFonts w:ascii="Lato" w:cs="Lato" w:eastAsia="Lato" w:hAnsi="Lato"/>
          <w:b/>
          <w:bCs/>
          <w:color w:val="C9A24A"/>
          <w:sz w:val="18"/>
          <w:szCs w:val="18"/>
        </w:rPr>
        <w:t xml:space="preserve">CIC-SC.org</w:t>
      </w:r>
    </w:p>
    <w:sectPr>
      <w:headerReference w:type="default" r:id="rId9"/>
      <w:footerReference w:type="default" r:id="rId10"/>
      <w:pgSz w:w="12240" w:h="15840" w:orient="portrait"/>
      <w:pgMar w:top="1080" w:right="1440" w:bottom="1296" w:left="1440" w:header="540" w:footer="540"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r>
      <w:t xml:space="preserv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173F35" w:sz="6" w:space="6"/>
      </w:pBdr>
      <w:spacing w:after="80" w:before="60"/>
    </w:pPr>
    <w:r>
      <w:t xml:space="preserve"/>
    </w:r>
  </w:p>
  <w:p>
    <w:pPr>
      <w:tabs>
        <w:tab w:val="center" w:pos="4680"/>
        <w:tab w:val="right" w:pos="9026"/>
      </w:tabs>
      <w:spacing w:after="60" w:before="0"/>
    </w:pPr>
    <w:r>
      <w:rPr>
        <w:rFonts w:ascii="Lato" w:cs="Lato" w:eastAsia="Lato" w:hAnsi="Lato"/>
        <w:b/>
        <w:bCs/>
        <w:color w:val="173F35"/>
        <w:sz w:val="16"/>
        <w:szCs w:val="16"/>
      </w:rPr>
      <w:t xml:space="preserve">CIC-SC.org</w:t>
    </w:r>
    <w:r>
      <w:t xml:space="preserve">	</w:t>
    </w:r>
    <w:r>
      <w:rPr>
        <w:rFonts w:ascii="Lato" w:cs="Lato" w:eastAsia="Lato" w:hAnsi="Lato"/>
        <w:i/>
        <w:iCs/>
        <w:color w:val="5C5C5C"/>
        <w:sz w:val="16"/>
        <w:szCs w:val="16"/>
      </w:rPr>
      <w:t xml:space="preserve">Annual Meeting &amp; Election  •  Educational Guide</w:t>
    </w:r>
    <w:r>
      <w:t xml:space="preserve">	</w:t>
    </w:r>
    <w:r>
      <w:rPr>
        <w:rFonts w:ascii="Lato" w:cs="Lato" w:eastAsia="Lato" w:hAnsi="Lato"/>
        <w:color w:val="5C5C5C"/>
        <w:sz w:val="16"/>
        <w:szCs w:val="16"/>
      </w:rPr>
      <w:t xml:space="preserve">Page </w:t>
    </w:r>
    <w:r>
      <w:rPr>
        <w:rFonts w:ascii="Lato" w:cs="Lato" w:eastAsia="Lato" w:hAnsi="Lato"/>
        <w:b/>
        <w:bCs/>
        <w:color w:val="173F35"/>
        <w:sz w:val="16"/>
        <w:szCs w:val="16"/>
      </w:rPr>
      <w:fldChar w:fldCharType="begin"/>
      <w:instrText xml:space="preserve">PAGE</w:instrText>
      <w:fldChar w:fldCharType="separate"/>
      <w:fldChar w:fldCharType="end"/>
    </w:r>
    <w:r>
      <w:rPr>
        <w:rFonts w:ascii="Lato" w:cs="Lato" w:eastAsia="Lato" w:hAnsi="Lato"/>
        <w:color w:val="5C5C5C"/>
        <w:sz w:val="16"/>
        <w:szCs w:val="16"/>
      </w:rPr>
      <w:t xml:space="preserve"> / </w:t>
    </w:r>
    <w:r>
      <w:rPr>
        <w:rFonts w:ascii="Lato" w:cs="Lato" w:eastAsia="Lato" w:hAnsi="Lato"/>
        <w:color w:val="5C5C5C"/>
        <w:sz w:val="16"/>
        <w:szCs w:val="16"/>
      </w:rPr>
      <w:fldChar w:fldCharType="begin"/>
      <w:instrText xml:space="preserve">NUMPAGES</w:instrText>
      <w:fldChar w:fldCharType="separate"/>
      <w:fldChar w:fldCharType="end"/>
    </w:r>
  </w:p>
  <w:p>
    <w:pPr>
      <w:spacing w:after="0" w:before="0"/>
    </w:pPr>
    <w:r>
      <w:rPr>
        <w:rFonts w:ascii="Lato" w:cs="Lato" w:eastAsia="Lato" w:hAnsi="Lato"/>
        <w:i/>
        <w:iCs/>
        <w:color w:val="5C5C5C"/>
        <w:sz w:val="16"/>
        <w:szCs w:val="16"/>
      </w:rPr>
      <w:t xml:space="preserve">© Common Interest Community Standards Council (CIC-SC). For educational use. Not legal advice. See Disclaimer on final page.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t xml:space="preserve"/>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tabs>
        <w:tab w:val="right" w:pos="9026"/>
      </w:tabs>
      <w:spacing w:after="0" w:before="0"/>
    </w:pPr>
    <w:r>
      <w:rPr>
        <w:rFonts w:ascii="Lato" w:cs="Lato" w:eastAsia="Lato" w:hAnsi="Lato"/>
        <w:b/>
        <w:bCs/>
        <w:color w:val="173F35"/>
        <w:spacing w:val="60"/>
        <w:sz w:val="16"/>
        <w:szCs w:val="16"/>
      </w:rPr>
      <w:t xml:space="preserve">Common Interest Community Standards Council</w:t>
    </w:r>
    <w:r>
      <w:t xml:space="preserve">	</w:t>
    </w:r>
    <w:r>
      <w:rPr>
        <w:rFonts w:ascii="Lato" w:cs="Lato" w:eastAsia="Lato" w:hAnsi="Lato"/>
        <w:i/>
        <w:iCs/>
        <w:color w:val="C9A24A"/>
        <w:sz w:val="16"/>
        <w:szCs w:val="16"/>
      </w:rPr>
      <w:t xml:space="preserve">Annual Meeting — Educational Guide</w:t>
    </w:r>
  </w:p>
  <w:p>
    <w:pPr>
      <w:pBdr>
        <w:bottom w:val="single" w:color="C9A24A" w:sz="6" w:space="1"/>
      </w:pBdr>
      <w:spacing w:after="0" w:before="60"/>
    </w:pPr>
    <w:r>
      <w:t xml:space="preserv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360"/>
      </w:pPr>
    </w:lvl>
  </w:abstractNum>
  <w:abstractNum w:abstractNumId="3" w15:restartNumberingAfterBreak="0">
    <w:multiLevelType w:val="hybridMultilevel"/>
    <w:lvl w:ilvl="0" w15:tentative="1">
      <w:start w:val="1"/>
      <w:numFmt w:val="lowerLetter"/>
      <w:lvlText w:val="%1)"/>
      <w:lvlJc w:val="left"/>
      <w:pPr>
        <w:ind w:left="1080" w:hanging="360"/>
      </w:pPr>
    </w:lvl>
  </w:abstractNum>
  <w:abstractNum w:abstractNumId="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080" w:hanging="360"/>
      </w:pPr>
    </w:lvl>
  </w:abstractNum>
  <w:num w:numId="1">
    <w:abstractNumId w:val="1"/>
    <w:lvlOverride w:ilvl="0">
      <w:startOverride w:val="1"/>
    </w:lvlOverride>
  </w:num>
  <w:num w:numId="2">
    <w:abstractNumId w:val="2"/>
    <w:lvlOverride w:ilvl="0">
      <w:startOverride w:val="1"/>
    </w:lvlOverride>
  </w:num>
  <w:num w:numId="3">
    <w:abstractNumId w:val="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ato" w:cs="Lato" w:eastAsia="Lato" w:hAnsi="Lato"/>
        <w:color w:val="1A1A1A"/>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280"/>
      <w:outlineLvl w:val="0"/>
    </w:pPr>
    <w:rPr>
      <w:rFonts w:ascii="Garamond" w:cs="Garamond" w:eastAsia="Garamond" w:hAnsi="Garamond"/>
      <w:b/>
      <w:bCs/>
      <w:color w:val="173F35"/>
      <w:sz w:val="40"/>
      <w:szCs w:val="40"/>
    </w:rPr>
  </w:style>
  <w:style w:type="paragraph" w:styleId="Heading2">
    <w:name w:val="Heading 2"/>
    <w:basedOn w:val="Normal"/>
    <w:next w:val="Normal"/>
    <w:qFormat/>
    <w:pPr>
      <w:spacing w:after="120" w:before="240"/>
      <w:outlineLvl w:val="1"/>
    </w:pPr>
    <w:rPr>
      <w:rFonts w:ascii="Garamond" w:cs="Garamond" w:eastAsia="Garamond" w:hAnsi="Garamond"/>
      <w:b/>
      <w:bCs/>
      <w:color w:val="173F35"/>
      <w:sz w:val="30"/>
      <w:szCs w:val="30"/>
    </w:rPr>
  </w:style>
  <w:style w:type="paragraph" w:styleId="Heading3">
    <w:name w:val="Heading 3"/>
    <w:basedOn w:val="Normal"/>
    <w:next w:val="Normal"/>
    <w:qFormat/>
    <w:pPr>
      <w:spacing w:after="100" w:before="200"/>
      <w:outlineLvl w:val="2"/>
    </w:pPr>
    <w:rPr>
      <w:rFonts w:ascii="Garamond" w:cs="Garamond" w:eastAsia="Garamond" w:hAnsi="Garamond"/>
      <w:b/>
      <w:bCs/>
      <w:color w:val="173F35"/>
      <w:sz w:val="26"/>
      <w:szCs w:val="26"/>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header" Target="header2.xml"/><Relationship Id="rId10" Type="http://schemas.openxmlformats.org/officeDocument/2006/relationships/footer" Target="footer2.xml"/><Relationship Id="rId11"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er2.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word/_rels/header2.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Meeting &amp; Election — Educational Guide</dc:title>
  <dc:creator>Common Interest Community Standards Council (CIC-SC)</dc:creator>
  <dc:description>CIC-SC Annual Meeting &amp; Election Resources — companion guide.</dc:description>
  <cp:lastModifiedBy>Un-named</cp:lastModifiedBy>
  <cp:revision>1</cp:revision>
  <dcterms:created xsi:type="dcterms:W3CDTF">2026-05-10T22:42:14.884Z</dcterms:created>
  <dcterms:modified xsi:type="dcterms:W3CDTF">2026-05-10T22:42:14.885Z</dcterms:modified>
</cp:coreProperties>
</file>

<file path=docProps/custom.xml><?xml version="1.0" encoding="utf-8"?>
<Properties xmlns="http://schemas.openxmlformats.org/officeDocument/2006/custom-properties" xmlns:vt="http://schemas.openxmlformats.org/officeDocument/2006/docPropsVTypes"/>
</file>